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337F" w:sz="6" w:space="4"/>
        </w:pBdr>
        <w:spacing w:after="40" w:before="40"/>
      </w:pPr>
      <w:r>
        <w:rPr>
          <w:sz w:val="4"/>
          <w:szCs w:val="4"/>
        </w:rPr>
        <w:t xml:space="preserve"/>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800"/>
        <w:gridCol w:w="6240"/>
        <w:gridCol w:w="1800"/>
      </w:tblGrid>
      <w:tr>
        <w:tc>
          <w:tcPr>
            <w:tcW w:type="dxa" w:w="1800"/>
            <w:tcBorders>
              <w:top w:val="none" w:sz="0"/>
              <w:left w:val="none" w:sz="0"/>
              <w:bottom w:val="none" w:sz="0"/>
              <w:right w:val="none" w:sz="0"/>
            </w:tcBorders>
            <w:tcMar>
              <w:top w:type="dxa" w:w="60"/>
              <w:left w:type="dxa" w:w="100"/>
              <w:bottom w:type="dxa" w:w="60"/>
              <w:right w:type="dxa" w:w="100"/>
            </w:tcMar>
            <w:vAlign w:val="center"/>
          </w:tcPr>
          <w:p>
            <w:r>
              <w:drawing>
                <wp:inline distT="0" distB="0" distL="0" distR="0">
                  <wp:extent cx="619125" cy="619125"/>
                  <wp:effectExtent t="0" r="0" b="0" l="0"/>
                  <wp:docPr id="1" name="buaa" descr="Beihang University" title="BU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 cy="619125"/>
                          </a:xfrm>
                          <a:prstGeom prst="rect">
                            <a:avLst/>
                          </a:prstGeom>
                        </pic:spPr>
                      </pic:pic>
                    </a:graphicData>
                  </a:graphic>
                </wp:inline>
              </w:drawing>
            </w:r>
          </w:p>
        </w:tc>
        <w:tc>
          <w:tcPr>
            <w:tcW w:type="dxa" w:w="6240"/>
            <w:tcBorders>
              <w:top w:val="none" w:sz="0"/>
              <w:left w:val="none" w:sz="0"/>
              <w:bottom w:val="none" w:sz="0"/>
              <w:right w:val="none" w:sz="0"/>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bCs/>
                <w:color w:val="00337F"/>
                <w:sz w:val="26"/>
                <w:szCs w:val="26"/>
              </w:rPr>
              <w:t xml:space="preserve">BEIHANG UNIVERSITY</w:t>
            </w:r>
          </w:p>
          <w:p>
            <w:pPr>
              <w:spacing w:after="0"/>
              <w:jc w:val="center"/>
            </w:pPr>
            <w:r>
              <w:rPr>
                <w:rFonts w:ascii="Times New Roman" w:cs="Times New Roman" w:eastAsia="Times New Roman" w:hAnsi="Times New Roman"/>
                <w:color w:val="666666"/>
                <w:sz w:val="19"/>
                <w:szCs w:val="19"/>
              </w:rPr>
              <w:t xml:space="preserve">Regional Centre for Space Science and Technology Education</w:t>
            </w:r>
          </w:p>
          <w:p>
            <w:pPr>
              <w:spacing w:after="0"/>
              <w:jc w:val="center"/>
            </w:pPr>
            <w:r>
              <w:rPr>
                <w:rFonts w:ascii="Times New Roman" w:cs="Times New Roman" w:eastAsia="Times New Roman" w:hAnsi="Times New Roman"/>
                <w:color w:val="666666"/>
                <w:sz w:val="19"/>
                <w:szCs w:val="19"/>
              </w:rPr>
              <w:t xml:space="preserve">in Asia and the Pacific (China) — RCSSTEAP</w:t>
            </w:r>
          </w:p>
        </w:tc>
        <w:tc>
          <w:tcPr>
            <w:tcW w:type="dxa" w:w="1800"/>
            <w:tcBorders>
              <w:top w:val="none" w:sz="0"/>
              <w:left w:val="none" w:sz="0"/>
              <w:bottom w:val="none" w:sz="0"/>
              <w:right w:val="none" w:sz="0"/>
            </w:tcBorders>
            <w:tcMar>
              <w:top w:type="dxa" w:w="60"/>
              <w:left w:type="dxa" w:w="100"/>
              <w:bottom w:type="dxa" w:w="60"/>
              <w:right w:type="dxa" w:w="100"/>
            </w:tcMar>
            <w:vAlign w:val="center"/>
          </w:tcPr>
          <w:p>
            <w:pPr>
              <w:jc w:val="right"/>
            </w:pPr>
            <w:r>
              <w:drawing>
                <wp:inline distT="0" distB="0" distL="0" distR="0">
                  <wp:extent cx="619125" cy="619125"/>
                  <wp:effectExtent t="0" r="0" b="0" l="0"/>
                  <wp:docPr id="1" name="rcssteap" descr="RCSSTEAP" title="RCSSTE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 cy="619125"/>
                          </a:xfrm>
                          <a:prstGeom prst="rect">
                            <a:avLst/>
                          </a:prstGeom>
                        </pic:spPr>
                      </pic:pic>
                    </a:graphicData>
                  </a:graphic>
                </wp:inline>
              </w:drawing>
            </w:r>
          </w:p>
        </w:tc>
      </w:tr>
    </w:tbl>
    <w:p>
      <w:pPr>
        <w:pBdr>
          <w:bottom w:val="single" w:color="00337F" w:sz="6" w:space="4"/>
        </w:pBdr>
        <w:spacing w:after="40" w:before="40"/>
      </w:pPr>
      <w:r>
        <w:rPr>
          <w:sz w:val="4"/>
          <w:szCs w:val="4"/>
        </w:rPr>
        <w:t xml:space="preserve"/>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0B0B0" w:sz="4"/>
              <w:left w:val="single" w:color="B0B0B0" w:sz="4"/>
              <w:bottom w:val="single" w:color="B0B0B0" w:sz="4"/>
              <w:right w:val="single" w:color="B0B0B0" w:sz="4"/>
            </w:tcBorders>
            <w:shd w:fill="00337F" w:val="clear"/>
            <w:tcMar>
              <w:top w:type="dxa" w:w="140"/>
              <w:left w:type="dxa" w:w="200"/>
              <w:bottom w:type="dxa" w:w="140"/>
              <w:right w:type="dxa" w:w="200"/>
            </w:tcMar>
          </w:tcPr>
          <w:p>
            <w:pPr>
              <w:spacing w:after="60"/>
              <w:jc w:val="center"/>
            </w:pPr>
            <w:r>
              <w:rPr>
                <w:rFonts w:ascii="Times New Roman" w:cs="Times New Roman" w:eastAsia="Times New Roman" w:hAnsi="Times New Roman"/>
                <w:b/>
                <w:bCs/>
                <w:color w:val="FFFFFF"/>
                <w:sz w:val="24"/>
                <w:szCs w:val="24"/>
              </w:rPr>
              <w:t xml:space="preserve">ASSIGNMENT 3 — GROUP AI PROCESS LOG</w:t>
            </w:r>
          </w:p>
          <w:p>
            <w:pPr>
              <w:spacing w:after="60"/>
              <w:jc w:val="center"/>
            </w:pPr>
            <w:r>
              <w:rPr>
                <w:rFonts w:ascii="Times New Roman" w:cs="Times New Roman" w:eastAsia="Times New Roman" w:hAnsi="Times New Roman"/>
                <w:color w:val="BBCCDD"/>
                <w:sz w:val="22"/>
                <w:szCs w:val="22"/>
              </w:rPr>
              <w:t xml:space="preserve">The RAG Concept Demo</w:t>
            </w:r>
          </w:p>
          <w:p>
            <w:pPr>
              <w:spacing w:after="0"/>
              <w:jc w:val="center"/>
            </w:pPr>
            <w:r>
              <w:rPr>
                <w:rFonts w:ascii="Times New Roman" w:cs="Times New Roman" w:eastAsia="Times New Roman" w:hAnsi="Times New Roman"/>
                <w:color w:val="FFFFFF"/>
                <w:sz w:val="20"/>
                <w:szCs w:val="20"/>
              </w:rPr>
              <w:t xml:space="preserve">GNSS Technical Knowledge Assistant using</w:t>
            </w:r>
          </w:p>
          <w:p>
            <w:pPr>
              <w:spacing w:after="0"/>
              <w:jc w:val="center"/>
            </w:pPr>
            <w:r>
              <w:rPr>
                <w:rFonts w:ascii="Times New Roman" w:cs="Times New Roman" w:eastAsia="Times New Roman" w:hAnsi="Times New Roman"/>
                <w:color w:val="FFFFFF"/>
                <w:sz w:val="20"/>
                <w:szCs w:val="20"/>
              </w:rPr>
              <w:t xml:space="preserve">Retrieval-Augmented Generation</w:t>
            </w:r>
          </w:p>
        </w:tc>
      </w:tr>
    </w:tbl>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400"/>
        <w:gridCol w:w="7440"/>
      </w:tblGrid>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pPr>
              <w:spacing w:after="0"/>
              <w:jc w:val="right"/>
            </w:pPr>
            <w:r>
              <w:rPr>
                <w:rFonts w:ascii="Times New Roman" w:cs="Times New Roman" w:eastAsia="Times New Roman" w:hAnsi="Times New Roman"/>
                <w:b/>
                <w:bCs/>
                <w:i w:val="false"/>
                <w:iCs w:val="false"/>
                <w:color w:val="00337F"/>
                <w:sz w:val="21"/>
                <w:szCs w:val="21"/>
              </w:rPr>
              <w:t xml:space="preserve">Course:</w:t>
            </w:r>
          </w:p>
        </w:tc>
        <w:tc>
          <w:tcPr>
            <w:tcW w:type="dxa" w:w="7440"/>
            <w:tcBorders>
              <w:top w:val="single" w:color="B0B0B0" w:sz="4"/>
              <w:left w:val="single" w:color="B0B0B0" w:sz="4"/>
              <w:bottom w:val="single" w:color="B0B0B0" w:sz="4"/>
              <w:right w:val="single" w:color="B0B0B0" w:sz="4"/>
            </w:tcBorders>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i w:val="false"/>
                <w:iCs w:val="false"/>
                <w:color w:val="333333"/>
                <w:sz w:val="21"/>
                <w:szCs w:val="21"/>
              </w:rPr>
              <w:t xml:space="preserve">Artificial Intelligence and Advanced Large Models</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pPr>
              <w:spacing w:after="0"/>
              <w:jc w:val="right"/>
            </w:pPr>
            <w:r>
              <w:rPr>
                <w:rFonts w:ascii="Times New Roman" w:cs="Times New Roman" w:eastAsia="Times New Roman" w:hAnsi="Times New Roman"/>
                <w:b/>
                <w:bCs/>
                <w:i w:val="false"/>
                <w:iCs w:val="false"/>
                <w:color w:val="00337F"/>
                <w:sz w:val="21"/>
                <w:szCs w:val="21"/>
              </w:rPr>
              <w:t xml:space="preserve">Program:</w:t>
            </w:r>
          </w:p>
        </w:tc>
        <w:tc>
          <w:tcPr>
            <w:tcW w:type="dxa" w:w="7440"/>
            <w:tcBorders>
              <w:top w:val="single" w:color="B0B0B0" w:sz="4"/>
              <w:left w:val="single" w:color="B0B0B0" w:sz="4"/>
              <w:bottom w:val="single" w:color="B0B0B0" w:sz="4"/>
              <w:right w:val="single" w:color="B0B0B0" w:sz="4"/>
            </w:tcBorders>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i w:val="false"/>
                <w:iCs w:val="false"/>
                <w:color w:val="333333"/>
                <w:sz w:val="21"/>
                <w:szCs w:val="21"/>
              </w:rPr>
              <w:t xml:space="preserve">Master’s Degree — Beihang University / RCSSTEAP</w:t>
            </w:r>
          </w:p>
        </w:tc>
      </w:tr>
      <w:tr>
        <w:tc>
          <w:tcPr>
            <w:tcW w:type="dxa" w:w="2400"/>
            <w:tcBorders>
              <w:top w:val="single" w:color="B0B0B0" w:sz="4"/>
              <w:left w:val="single" w:color="B0B0B0" w:sz="4"/>
              <w:bottom w:val="single" w:color="B0B0B0" w:sz="4"/>
              <w:right w:val="single" w:color="B0B0B0" w:sz="4"/>
            </w:tcBorders>
            <w:tcMar>
              <w:top w:type="dxa" w:w="60"/>
              <w:left w:type="dxa" w:w="100"/>
              <w:bottom w:type="dxa" w:w="60"/>
              <w:right w:type="dxa" w:w="100"/>
            </w:tcMar>
          </w:tcPr>
          <w:p>
            <w:pPr>
              <w:spacing w:after="0"/>
              <w:jc w:val="right"/>
            </w:pPr>
            <w:r>
              <w:rPr>
                <w:rFonts w:ascii="Times New Roman" w:cs="Times New Roman" w:eastAsia="Times New Roman" w:hAnsi="Times New Roman"/>
                <w:b/>
                <w:bCs/>
                <w:i w:val="false"/>
                <w:iCs w:val="false"/>
                <w:color w:val="00337F"/>
                <w:sz w:val="21"/>
                <w:szCs w:val="21"/>
              </w:rPr>
              <w:t xml:space="preserve">Semester:</w:t>
            </w:r>
          </w:p>
        </w:tc>
        <w:tc>
          <w:tcPr>
            <w:tcW w:type="dxa" w:w="7440"/>
            <w:tcBorders>
              <w:top w:val="single" w:color="B0B0B0" w:sz="4"/>
              <w:left w:val="single" w:color="B0B0B0" w:sz="4"/>
              <w:bottom w:val="single" w:color="B0B0B0" w:sz="4"/>
              <w:right w:val="single" w:color="B0B0B0" w:sz="4"/>
            </w:tcBorders>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i w:val="false"/>
                <w:iCs w:val="false"/>
                <w:color w:val="333333"/>
                <w:sz w:val="21"/>
                <w:szCs w:val="21"/>
              </w:rPr>
              <w:t xml:space="preserve">Spring 2025</w:t>
            </w:r>
          </w:p>
        </w:tc>
      </w:tr>
    </w:tbl>
    <w:p>
      <w:pPr>
        <w:spacing w:before="20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0B0B0" w:sz="4"/>
              <w:left w:val="single" w:color="B0B0B0" w:sz="4"/>
              <w:bottom w:val="single" w:color="B0B0B0" w:sz="4"/>
              <w:right w:val="single" w:color="B0B0B0" w:sz="4"/>
            </w:tcBorders>
            <w:shd w:fill="00337F" w:val="clear"/>
            <w:tcMar>
              <w:top w:type="dxa" w:w="100"/>
              <w:left w:type="dxa" w:w="200"/>
              <w:bottom w:type="dxa" w:w="100"/>
              <w:right w:type="dxa" w:w="200"/>
            </w:tcMar>
          </w:tcPr>
          <w:p>
            <w:pPr>
              <w:spacing w:after="40"/>
              <w:jc w:val="left"/>
            </w:pPr>
            <w:r>
              <w:rPr>
                <w:rFonts w:ascii="Times New Roman" w:cs="Times New Roman" w:eastAsia="Times New Roman" w:hAnsi="Times New Roman"/>
                <w:b/>
                <w:bCs/>
                <w:color w:val="FFFFFF"/>
                <w:sz w:val="22"/>
                <w:szCs w:val="22"/>
              </w:rPr>
              <w:t xml:space="preserve">▶ Interactive Dashboard</w:t>
            </w:r>
          </w:p>
          <w:p>
            <w:pPr>
              <w:spacing w:after="40"/>
              <w:jc w:val="left"/>
            </w:pPr>
            <w:hyperlink w:history="1" r:id="rIdvvcxhqannngc6vncibalo">
              <w:r>
                <w:rPr>
                  <w:rFonts w:ascii="Times New Roman" w:cs="Times New Roman" w:eastAsia="Times New Roman" w:hAnsi="Times New Roman"/>
                  <w:color w:val="BBCCDD"/>
                  <w:sz w:val="21"/>
                  <w:szCs w:val="21"/>
                  <w:u w:val="single"/>
                </w:rPr>
                <w:t xml:space="preserve">https://gnss-rag-assistant-gxgbm7dbgfmsxkuycfabmt.streamlit.app/</w:t>
              </w:r>
            </w:hyperlink>
          </w:p>
          <w:p>
            <w:pPr>
              <w:spacing w:after="0"/>
              <w:jc w:val="left"/>
            </w:pPr>
            <w:r>
              <w:rPr>
                <w:rFonts w:ascii="Times New Roman" w:cs="Times New Roman" w:eastAsia="Times New Roman" w:hAnsi="Times New Roman"/>
                <w:b/>
                <w:bCs/>
                <w:color w:val="FFFFFF"/>
                <w:sz w:val="20"/>
                <w:szCs w:val="20"/>
              </w:rPr>
              <w:t xml:space="preserve">Source Code: </w:t>
            </w:r>
            <w:hyperlink w:history="1" r:id="rIdhbhi1l6xqrslrv4nzdnj4">
              <w:r>
                <w:rPr>
                  <w:rFonts w:ascii="Times New Roman" w:cs="Times New Roman" w:eastAsia="Times New Roman" w:hAnsi="Times New Roman"/>
                  <w:color w:val="BBCCDD"/>
                  <w:sz w:val="20"/>
                  <w:szCs w:val="20"/>
                  <w:u w:val="single"/>
                </w:rPr>
                <w:t xml:space="preserve">https://github.com/Tevin-Wills/gnss-rag-assistant</w:t>
              </w:r>
            </w:hyperlink>
          </w:p>
        </w:tc>
      </w:tr>
    </w:tbl>
    <w:p>
      <w:pPr>
        <w:spacing w:after="120" w:before="280"/>
      </w:pPr>
      <w:r>
        <w:rPr>
          <w:rFonts w:ascii="Times New Roman" w:cs="Times New Roman" w:eastAsia="Times New Roman" w:hAnsi="Times New Roman"/>
          <w:b/>
          <w:bCs/>
          <w:color w:val="00337F"/>
          <w:sz w:val="26"/>
          <w:szCs w:val="26"/>
        </w:rPr>
        <w:t xml:space="preserve">1. Group Information</w:t>
      </w:r>
    </w:p>
    <w:p>
      <w:pPr>
        <w:spacing w:after="120" w:before="0" w:line="276"/>
        <w:jc w:val="both"/>
      </w:pPr>
      <w:r>
        <w:rPr>
          <w:rFonts w:ascii="Times New Roman" w:cs="Times New Roman" w:eastAsia="Times New Roman" w:hAnsi="Times New Roman"/>
          <w:color w:val="333333"/>
          <w:sz w:val="22"/>
          <w:szCs w:val="22"/>
        </w:rPr>
        <w:t xml:space="preserve">This assignment was completed collaboratively by Group 14, comprising three Master’s students at Beihang University / RCSSTEAP. Topic selection, AI tool usage, prompt refinement, output evaluation, and final artifact selection were completed as a group.</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tblGrid>
      <w:tr>
        <w:tc>
          <w:tcPr>
            <w:tcW w:type="dxa" w:w="4200"/>
            <w:tcBorders>
              <w:top w:val="single" w:color="B0B0B0" w:sz="4"/>
              <w:left w:val="single" w:color="B0B0B0" w:sz="4"/>
              <w:bottom w:val="single" w:color="B0B0B0" w:sz="4"/>
              <w:right w:val="single" w:color="B0B0B0" w:sz="4"/>
            </w:tcBorders>
            <w:shd w:fill="00337F" w:val="clear"/>
            <w:tcMar>
              <w:top w:type="dxa" w:w="60"/>
              <w:left w:type="dxa" w:w="100"/>
              <w:bottom w:type="dxa" w:w="60"/>
              <w:right w:type="dxa" w:w="100"/>
            </w:tcMar>
          </w:tcPr>
          <w:p>
            <w:pPr>
              <w:spacing w:after="0"/>
              <w:jc w:val="center"/>
            </w:pPr>
            <w:r>
              <w:rPr>
                <w:rFonts w:ascii="Times New Roman" w:cs="Times New Roman" w:eastAsia="Times New Roman" w:hAnsi="Times New Roman"/>
                <w:b/>
                <w:bCs/>
                <w:i w:val="false"/>
                <w:iCs w:val="false"/>
                <w:color w:val="FFFFFF"/>
                <w:sz w:val="22"/>
                <w:szCs w:val="22"/>
              </w:rPr>
              <w:t xml:space="preserve">Full Name</w:t>
            </w:r>
          </w:p>
        </w:tc>
        <w:tc>
          <w:tcPr>
            <w:tcW w:type="dxa" w:w="3000"/>
            <w:tcBorders>
              <w:top w:val="single" w:color="B0B0B0" w:sz="4"/>
              <w:left w:val="single" w:color="B0B0B0" w:sz="4"/>
              <w:bottom w:val="single" w:color="B0B0B0" w:sz="4"/>
              <w:right w:val="single" w:color="B0B0B0" w:sz="4"/>
            </w:tcBorders>
            <w:shd w:fill="00337F" w:val="clear"/>
            <w:tcMar>
              <w:top w:type="dxa" w:w="60"/>
              <w:left w:type="dxa" w:w="100"/>
              <w:bottom w:type="dxa" w:w="60"/>
              <w:right w:type="dxa" w:w="100"/>
            </w:tcMar>
          </w:tcPr>
          <w:p>
            <w:pPr>
              <w:spacing w:after="0"/>
              <w:jc w:val="center"/>
            </w:pPr>
            <w:r>
              <w:rPr>
                <w:rFonts w:ascii="Times New Roman" w:cs="Times New Roman" w:eastAsia="Times New Roman" w:hAnsi="Times New Roman"/>
                <w:b/>
                <w:bCs/>
                <w:i w:val="false"/>
                <w:iCs w:val="false"/>
                <w:color w:val="FFFFFF"/>
                <w:sz w:val="22"/>
                <w:szCs w:val="22"/>
              </w:rPr>
              <w:t xml:space="preserve">Student ID</w:t>
            </w:r>
          </w:p>
        </w:tc>
      </w:tr>
      <w:tr>
        <w:tc>
          <w:tcPr>
            <w:tcW w:type="dxa" w:w="4200"/>
            <w:tcBorders>
              <w:top w:val="single" w:color="B0B0B0" w:sz="4"/>
              <w:left w:val="single" w:color="B0B0B0" w:sz="4"/>
              <w:bottom w:val="single" w:color="B0B0B0" w:sz="4"/>
              <w:right w:val="single" w:color="B0B0B0" w:sz="4"/>
            </w:tcBorders>
            <w:shd w:fill="F2F2F2" w:val="clear"/>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i w:val="false"/>
                <w:iCs w:val="false"/>
                <w:color w:val="333333"/>
                <w:sz w:val="22"/>
                <w:szCs w:val="22"/>
              </w:rPr>
              <w:t xml:space="preserve">Granny Tlou Molokomme</w:t>
            </w:r>
          </w:p>
        </w:tc>
        <w:tc>
          <w:tcPr>
            <w:tcW w:type="dxa" w:w="3000"/>
            <w:tcBorders>
              <w:top w:val="single" w:color="B0B0B0" w:sz="4"/>
              <w:left w:val="single" w:color="B0B0B0" w:sz="4"/>
              <w:bottom w:val="single" w:color="B0B0B0" w:sz="4"/>
              <w:right w:val="single" w:color="B0B0B0" w:sz="4"/>
            </w:tcBorders>
            <w:shd w:fill="F2F2F2" w:val="clear"/>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i w:val="false"/>
                <w:iCs w:val="false"/>
                <w:color w:val="333333"/>
                <w:sz w:val="22"/>
                <w:szCs w:val="22"/>
              </w:rPr>
              <w:t xml:space="preserve">LS2525256</w:t>
            </w:r>
          </w:p>
        </w:tc>
      </w:tr>
      <w:tr>
        <w:tc>
          <w:tcPr>
            <w:tcW w:type="dxa" w:w="4200"/>
            <w:tcBorders>
              <w:top w:val="single" w:color="B0B0B0" w:sz="4"/>
              <w:left w:val="single" w:color="B0B0B0" w:sz="4"/>
              <w:bottom w:val="single" w:color="B0B0B0" w:sz="4"/>
              <w:right w:val="single" w:color="B0B0B0" w:sz="4"/>
            </w:tcBorders>
            <w:shd w:fill="FFFFFF" w:val="clear"/>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i w:val="false"/>
                <w:iCs w:val="false"/>
                <w:color w:val="333333"/>
                <w:sz w:val="22"/>
                <w:szCs w:val="22"/>
              </w:rPr>
              <w:t xml:space="preserve">Letsoalo Maile</w:t>
            </w:r>
          </w:p>
        </w:tc>
        <w:tc>
          <w:tcPr>
            <w:tcW w:type="dxa" w:w="3000"/>
            <w:tcBorders>
              <w:top w:val="single" w:color="B0B0B0" w:sz="4"/>
              <w:left w:val="single" w:color="B0B0B0" w:sz="4"/>
              <w:bottom w:val="single" w:color="B0B0B0" w:sz="4"/>
              <w:right w:val="single" w:color="B0B0B0" w:sz="4"/>
            </w:tcBorders>
            <w:shd w:fill="FFFFFF" w:val="clear"/>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i w:val="false"/>
                <w:iCs w:val="false"/>
                <w:color w:val="333333"/>
                <w:sz w:val="22"/>
                <w:szCs w:val="22"/>
              </w:rPr>
              <w:t xml:space="preserve">LS2525231</w:t>
            </w:r>
          </w:p>
        </w:tc>
      </w:tr>
      <w:tr>
        <w:tc>
          <w:tcPr>
            <w:tcW w:type="dxa" w:w="4200"/>
            <w:tcBorders>
              <w:top w:val="single" w:color="B0B0B0" w:sz="4"/>
              <w:left w:val="single" w:color="B0B0B0" w:sz="4"/>
              <w:bottom w:val="single" w:color="B0B0B0" w:sz="4"/>
              <w:right w:val="single" w:color="B0B0B0" w:sz="4"/>
            </w:tcBorders>
            <w:shd w:fill="F2F2F2" w:val="clear"/>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i w:val="false"/>
                <w:iCs w:val="false"/>
                <w:color w:val="333333"/>
                <w:sz w:val="22"/>
                <w:szCs w:val="22"/>
              </w:rPr>
              <w:t xml:space="preserve">Lemalasia Tevin Muchera</w:t>
            </w:r>
          </w:p>
        </w:tc>
        <w:tc>
          <w:tcPr>
            <w:tcW w:type="dxa" w:w="3000"/>
            <w:tcBorders>
              <w:top w:val="single" w:color="B0B0B0" w:sz="4"/>
              <w:left w:val="single" w:color="B0B0B0" w:sz="4"/>
              <w:bottom w:val="single" w:color="B0B0B0" w:sz="4"/>
              <w:right w:val="single" w:color="B0B0B0" w:sz="4"/>
            </w:tcBorders>
            <w:shd w:fill="F2F2F2" w:val="clear"/>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i w:val="false"/>
                <w:iCs w:val="false"/>
                <w:color w:val="333333"/>
                <w:sz w:val="22"/>
                <w:szCs w:val="22"/>
              </w:rPr>
              <w:t xml:space="preserve">LS2525229</w:t>
            </w:r>
          </w:p>
        </w:tc>
      </w:tr>
    </w:tbl>
    <w:p>
      <w:pPr>
        <w:spacing w:after="120" w:before="280"/>
      </w:pPr>
      <w:r>
        <w:rPr>
          <w:rFonts w:ascii="Times New Roman" w:cs="Times New Roman" w:eastAsia="Times New Roman" w:hAnsi="Times New Roman"/>
          <w:b/>
          <w:bCs/>
          <w:color w:val="00337F"/>
          <w:sz w:val="26"/>
          <w:szCs w:val="26"/>
        </w:rPr>
        <w:t xml:space="preserve">2. Assignment Objective</w:t>
      </w:r>
    </w:p>
    <w:p>
      <w:pPr>
        <w:spacing w:after="120" w:before="0" w:line="276"/>
        <w:jc w:val="both"/>
      </w:pPr>
      <w:r>
        <w:rPr>
          <w:rFonts w:ascii="Times New Roman" w:cs="Times New Roman" w:eastAsia="Times New Roman" w:hAnsi="Times New Roman"/>
          <w:color w:val="333333"/>
          <w:sz w:val="22"/>
          <w:szCs w:val="22"/>
        </w:rPr>
        <w:t xml:space="preserve">The objective of this assignment was to design a rapid prototype demonstrating a complete Retrieval-Augmented Generation (RAG) pipeline that connects a foundation model to domain-specific GNSS engineering knowledge. The demo addresses the core problem identified in Sessions 6–8: foundation models are prone to hallucination, and RAG is the engineering solution to ground model outputs in retrieved evidence. The deliverable is a working Streamlit application that ingests technical documents, chunks and embeds them into a vector database, retrieves relevant context for user queries, and generates precise, source-cited answers without hallucinating.</w:t>
      </w:r>
    </w:p>
    <w:p>
      <w:pPr>
        <w:spacing w:after="120" w:before="280"/>
      </w:pPr>
      <w:r>
        <w:rPr>
          <w:rFonts w:ascii="Times New Roman" w:cs="Times New Roman" w:eastAsia="Times New Roman" w:hAnsi="Times New Roman"/>
          <w:b/>
          <w:bCs/>
          <w:color w:val="00337F"/>
          <w:sz w:val="26"/>
          <w:szCs w:val="26"/>
        </w:rPr>
        <w:t xml:space="preserve">3. AI Workflow Summary</w:t>
      </w:r>
    </w:p>
    <w:p>
      <w:pPr>
        <w:spacing w:after="120" w:before="0" w:line="276"/>
        <w:jc w:val="both"/>
      </w:pPr>
      <w:r>
        <w:rPr>
          <w:rFonts w:ascii="Times New Roman" w:cs="Times New Roman" w:eastAsia="Times New Roman" w:hAnsi="Times New Roman"/>
          <w:color w:val="333333"/>
          <w:sz w:val="22"/>
          <w:szCs w:val="22"/>
        </w:rPr>
        <w:t xml:space="preserve">The group followed a structured, iterative workflow to move from course concepts to polished deliverables:</w:t>
      </w:r>
    </w:p>
    <w:p>
      <w:pPr>
        <w:pStyle w:val="ListParagraph"/>
        <w:numPr>
          <w:ilvl w:val="0"/>
          <w:numId w:val="2"/>
        </w:numPr>
        <w:spacing w:after="120" w:before="0" w:line="276"/>
        <w:jc w:val="both"/>
      </w:pPr>
      <w:r>
        <w:rPr>
          <w:rFonts w:ascii="Times New Roman" w:cs="Times New Roman" w:eastAsia="Times New Roman" w:hAnsi="Times New Roman"/>
          <w:b/>
          <w:bCs/>
          <w:color w:val="333333"/>
          <w:sz w:val="22"/>
          <w:szCs w:val="22"/>
        </w:rPr>
        <w:t xml:space="preserve">Phase 1 — Brief Analysis: </w:t>
      </w:r>
      <w:r>
        <w:rPr>
          <w:rFonts w:ascii="Times New Roman" w:cs="Times New Roman" w:eastAsia="Times New Roman" w:hAnsi="Times New Roman"/>
          <w:color w:val="333333"/>
          <w:sz w:val="22"/>
          <w:szCs w:val="22"/>
        </w:rPr>
        <w:t xml:space="preserve">Reviewed the Assignment 3 brief and identified the core requirements: feed engineering documents into an AI coding agent and design a prototype demonstrating chunking, embedding, and retrieval strategies.</w:t>
      </w:r>
    </w:p>
    <w:p>
      <w:pPr>
        <w:pStyle w:val="ListParagraph"/>
        <w:numPr>
          <w:ilvl w:val="0"/>
          <w:numId w:val="2"/>
        </w:numPr>
        <w:spacing w:after="120" w:before="0" w:line="276"/>
        <w:jc w:val="both"/>
      </w:pPr>
      <w:r>
        <w:rPr>
          <w:rFonts w:ascii="Times New Roman" w:cs="Times New Roman" w:eastAsia="Times New Roman" w:hAnsi="Times New Roman"/>
          <w:b/>
          <w:bCs/>
          <w:color w:val="333333"/>
          <w:sz w:val="22"/>
          <w:szCs w:val="22"/>
        </w:rPr>
        <w:t xml:space="preserve">Phase 2 — Course Alignment: </w:t>
      </w:r>
      <w:r>
        <w:rPr>
          <w:rFonts w:ascii="Times New Roman" w:cs="Times New Roman" w:eastAsia="Times New Roman" w:hAnsi="Times New Roman"/>
          <w:color w:val="333333"/>
          <w:sz w:val="22"/>
          <w:szCs w:val="22"/>
        </w:rPr>
        <w:t xml:space="preserve">Extracted and adapted key concepts from Session 6 (Transformer architectures, foundation models, hallucination), Session 7 (post-training alignment, system prompts, safety), and Session 8 (RAG pipeline architecture, chunking strategies, embedding models, vector databases, cosine similarity retrieval) to the GNSS technical knowledge domain.</w:t>
      </w:r>
    </w:p>
    <w:p>
      <w:pPr>
        <w:pStyle w:val="ListParagraph"/>
        <w:numPr>
          <w:ilvl w:val="0"/>
          <w:numId w:val="2"/>
        </w:numPr>
        <w:spacing w:after="120" w:before="0" w:line="276"/>
        <w:jc w:val="both"/>
      </w:pPr>
      <w:r>
        <w:rPr>
          <w:rFonts w:ascii="Times New Roman" w:cs="Times New Roman" w:eastAsia="Times New Roman" w:hAnsi="Times New Roman"/>
          <w:b/>
          <w:bCs/>
          <w:color w:val="333333"/>
          <w:sz w:val="22"/>
          <w:szCs w:val="22"/>
        </w:rPr>
        <w:t xml:space="preserve">Phase 3 — Pipeline Development: </w:t>
      </w:r>
      <w:r>
        <w:rPr>
          <w:rFonts w:ascii="Times New Roman" w:cs="Times New Roman" w:eastAsia="Times New Roman" w:hAnsi="Times New Roman"/>
          <w:color w:val="333333"/>
          <w:sz w:val="22"/>
          <w:szCs w:val="22"/>
        </w:rPr>
        <w:t xml:space="preserve">Used Claude Code to implement the complete RAG pipeline: PDF ingestion with pdfplumber, three chunking strategies (fixed-size, sentence-based, semantic), embedding with all-MiniLM-L6-v2, ChromaDB vector storage, cosine similarity retrieval, and Groq-hosted Llama 3.3 70B generation with source citation enforcement. Outputs were iteratively reviewed and refined at each stage.</w:t>
      </w:r>
    </w:p>
    <w:p>
      <w:pPr>
        <w:pStyle w:val="ListParagraph"/>
        <w:numPr>
          <w:ilvl w:val="0"/>
          <w:numId w:val="2"/>
        </w:numPr>
        <w:spacing w:after="120" w:before="0" w:line="276"/>
        <w:jc w:val="both"/>
      </w:pPr>
      <w:r>
        <w:rPr>
          <w:rFonts w:ascii="Times New Roman" w:cs="Times New Roman" w:eastAsia="Times New Roman" w:hAnsi="Times New Roman"/>
          <w:b/>
          <w:bCs/>
          <w:color w:val="333333"/>
          <w:sz w:val="22"/>
          <w:szCs w:val="22"/>
        </w:rPr>
        <w:t xml:space="preserve">Phase 4 — UI &amp; Evaluation: </w:t>
      </w:r>
      <w:r>
        <w:rPr>
          <w:rFonts w:ascii="Times New Roman" w:cs="Times New Roman" w:eastAsia="Times New Roman" w:hAnsi="Times New Roman"/>
          <w:color w:val="333333"/>
          <w:sz w:val="22"/>
          <w:szCs w:val="22"/>
        </w:rPr>
        <w:t xml:space="preserve">Built a polished Streamlit interface with a dark navy + cyan theme matching the group’s Assignment 2 dashboard, animated GNSS constellation sidebar, interactive pipeline diagram, Q&amp;A tab with comparison mode (RAG vs. Plain LLM), an evaluation dashboard that benchmarks all six test scenarios with IR metrics (Hit Rate @k, MRR), and a Strategy Comparison tab comparing three chunking strategies and three chunk sizes (200, 512, 1000 tokens) with interactive Plotly charts.</w:t>
      </w:r>
    </w:p>
    <w:p>
      <w:pPr>
        <w:pStyle w:val="ListParagraph"/>
        <w:numPr>
          <w:ilvl w:val="0"/>
          <w:numId w:val="2"/>
        </w:numPr>
        <w:spacing w:after="120" w:before="0" w:line="276"/>
        <w:jc w:val="both"/>
      </w:pPr>
      <w:r>
        <w:rPr>
          <w:rFonts w:ascii="Times New Roman" w:cs="Times New Roman" w:eastAsia="Times New Roman" w:hAnsi="Times New Roman"/>
          <w:b/>
          <w:bCs/>
          <w:color w:val="333333"/>
          <w:sz w:val="22"/>
          <w:szCs w:val="22"/>
        </w:rPr>
        <w:t xml:space="preserve">Phase 5 — Deployment: </w:t>
      </w:r>
      <w:r>
        <w:rPr>
          <w:rFonts w:ascii="Times New Roman" w:cs="Times New Roman" w:eastAsia="Times New Roman" w:hAnsi="Times New Roman"/>
          <w:color w:val="333333"/>
          <w:sz w:val="22"/>
          <w:szCs w:val="22"/>
        </w:rPr>
        <w:t xml:space="preserve">Created a GitHub repository, pushed the codebase with the pre-built vector database, and deployed the application to Streamlit Cloud for public access.</w:t>
      </w:r>
    </w:p>
    <w:p>
      <w:pPr>
        <w:spacing w:after="120" w:before="280"/>
      </w:pPr>
      <w:r>
        <w:rPr>
          <w:rFonts w:ascii="Times New Roman" w:cs="Times New Roman" w:eastAsia="Times New Roman" w:hAnsi="Times New Roman"/>
          <w:b/>
          <w:bCs/>
          <w:color w:val="00337F"/>
          <w:sz w:val="26"/>
          <w:szCs w:val="26"/>
        </w:rPr>
        <w:t xml:space="preserve">4. AI Tools Used</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840"/>
      </w:tblGrid>
      <w:tr>
        <w:tc>
          <w:tcPr>
            <w:tcW w:type="dxa" w:w="1800"/>
            <w:tcBorders>
              <w:top w:val="single" w:color="B0B0B0" w:sz="4"/>
              <w:left w:val="single" w:color="B0B0B0" w:sz="4"/>
              <w:bottom w:val="single" w:color="B0B0B0" w:sz="4"/>
              <w:right w:val="single" w:color="B0B0B0" w:sz="4"/>
            </w:tcBorders>
            <w:shd w:fill="00337F" w:val="clear"/>
            <w:tcMar>
              <w:top w:type="dxa" w:w="60"/>
              <w:left w:type="dxa" w:w="100"/>
              <w:bottom w:type="dxa" w:w="60"/>
              <w:right w:type="dxa" w:w="100"/>
            </w:tcMar>
          </w:tcPr>
          <w:p>
            <w:pPr>
              <w:spacing w:after="0"/>
              <w:jc w:val="center"/>
            </w:pPr>
            <w:r>
              <w:rPr>
                <w:rFonts w:ascii="Times New Roman" w:cs="Times New Roman" w:eastAsia="Times New Roman" w:hAnsi="Times New Roman"/>
                <w:b/>
                <w:bCs/>
                <w:i w:val="false"/>
                <w:iCs w:val="false"/>
                <w:color w:val="FFFFFF"/>
                <w:sz w:val="22"/>
                <w:szCs w:val="22"/>
              </w:rPr>
              <w:t xml:space="preserve">AI Tool</w:t>
            </w:r>
          </w:p>
        </w:tc>
        <w:tc>
          <w:tcPr>
            <w:tcW w:type="dxa" w:w="2200"/>
            <w:tcBorders>
              <w:top w:val="single" w:color="B0B0B0" w:sz="4"/>
              <w:left w:val="single" w:color="B0B0B0" w:sz="4"/>
              <w:bottom w:val="single" w:color="B0B0B0" w:sz="4"/>
              <w:right w:val="single" w:color="B0B0B0" w:sz="4"/>
            </w:tcBorders>
            <w:shd w:fill="00337F" w:val="clear"/>
            <w:tcMar>
              <w:top w:type="dxa" w:w="60"/>
              <w:left w:type="dxa" w:w="100"/>
              <w:bottom w:type="dxa" w:w="60"/>
              <w:right w:type="dxa" w:w="100"/>
            </w:tcMar>
          </w:tcPr>
          <w:p>
            <w:pPr>
              <w:spacing w:after="0"/>
              <w:jc w:val="center"/>
            </w:pPr>
            <w:r>
              <w:rPr>
                <w:rFonts w:ascii="Times New Roman" w:cs="Times New Roman" w:eastAsia="Times New Roman" w:hAnsi="Times New Roman"/>
                <w:b/>
                <w:bCs/>
                <w:i w:val="false"/>
                <w:iCs w:val="false"/>
                <w:color w:val="FFFFFF"/>
                <w:sz w:val="22"/>
                <w:szCs w:val="22"/>
              </w:rPr>
              <w:t xml:space="preserve">Purpose</w:t>
            </w:r>
          </w:p>
        </w:tc>
        <w:tc>
          <w:tcPr>
            <w:tcW w:type="dxa" w:w="5840"/>
            <w:tcBorders>
              <w:top w:val="single" w:color="B0B0B0" w:sz="4"/>
              <w:left w:val="single" w:color="B0B0B0" w:sz="4"/>
              <w:bottom w:val="single" w:color="B0B0B0" w:sz="4"/>
              <w:right w:val="single" w:color="B0B0B0" w:sz="4"/>
            </w:tcBorders>
            <w:shd w:fill="00337F" w:val="clear"/>
            <w:tcMar>
              <w:top w:type="dxa" w:w="60"/>
              <w:left w:type="dxa" w:w="100"/>
              <w:bottom w:type="dxa" w:w="60"/>
              <w:right w:type="dxa" w:w="100"/>
            </w:tcMar>
          </w:tcPr>
          <w:p>
            <w:pPr>
              <w:spacing w:after="0"/>
              <w:jc w:val="center"/>
            </w:pPr>
            <w:r>
              <w:rPr>
                <w:rFonts w:ascii="Times New Roman" w:cs="Times New Roman" w:eastAsia="Times New Roman" w:hAnsi="Times New Roman"/>
                <w:b/>
                <w:bCs/>
                <w:i w:val="false"/>
                <w:iCs w:val="false"/>
                <w:color w:val="FFFFFF"/>
                <w:sz w:val="22"/>
                <w:szCs w:val="22"/>
              </w:rPr>
              <w:t xml:space="preserve">How It Was Used</w:t>
            </w:r>
          </w:p>
        </w:tc>
      </w:tr>
      <w:tr>
        <w:tc>
          <w:tcPr>
            <w:tcW w:type="dxa" w:w="1800"/>
            <w:tcBorders>
              <w:top w:val="single" w:color="B0B0B0" w:sz="4"/>
              <w:left w:val="single" w:color="B0B0B0" w:sz="4"/>
              <w:bottom w:val="single" w:color="B0B0B0" w:sz="4"/>
              <w:right w:val="single" w:color="B0B0B0" w:sz="4"/>
            </w:tcBorders>
            <w:shd w:fill="F2F2F2" w:val="clear"/>
            <w:tcMar>
              <w:top w:type="dxa" w:w="60"/>
              <w:left w:type="dxa" w:w="100"/>
              <w:bottom w:type="dxa" w:w="60"/>
              <w:right w:type="dxa" w:w="100"/>
            </w:tcMar>
          </w:tcPr>
          <w:p>
            <w:pPr>
              <w:spacing w:after="0"/>
              <w:jc w:val="left"/>
            </w:pPr>
            <w:r>
              <w:rPr>
                <w:rFonts w:ascii="Times New Roman" w:cs="Times New Roman" w:eastAsia="Times New Roman" w:hAnsi="Times New Roman"/>
                <w:b/>
                <w:bCs/>
                <w:i w:val="false"/>
                <w:iCs w:val="false"/>
                <w:color w:val="333333"/>
                <w:sz w:val="22"/>
                <w:szCs w:val="22"/>
              </w:rPr>
              <w:t xml:space="preserve">Claude Code</w:t>
            </w:r>
          </w:p>
        </w:tc>
        <w:tc>
          <w:tcPr>
            <w:tcW w:type="dxa" w:w="2200"/>
            <w:tcBorders>
              <w:top w:val="single" w:color="B0B0B0" w:sz="4"/>
              <w:left w:val="single" w:color="B0B0B0" w:sz="4"/>
              <w:bottom w:val="single" w:color="B0B0B0" w:sz="4"/>
              <w:right w:val="single" w:color="B0B0B0" w:sz="4"/>
            </w:tcBorders>
            <w:shd w:fill="F2F2F2" w:val="clear"/>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i w:val="false"/>
                <w:iCs w:val="false"/>
                <w:color w:val="333333"/>
                <w:sz w:val="22"/>
                <w:szCs w:val="22"/>
              </w:rPr>
              <w:t xml:space="preserve">Full pipeline development &amp; deployment</w:t>
            </w:r>
          </w:p>
        </w:tc>
        <w:tc>
          <w:tcPr>
            <w:tcW w:type="dxa" w:w="5840"/>
            <w:tcBorders>
              <w:top w:val="single" w:color="B0B0B0" w:sz="4"/>
              <w:left w:val="single" w:color="B0B0B0" w:sz="4"/>
              <w:bottom w:val="single" w:color="B0B0B0" w:sz="4"/>
              <w:right w:val="single" w:color="B0B0B0" w:sz="4"/>
            </w:tcBorders>
            <w:shd w:fill="F2F2F2" w:val="clear"/>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i w:val="false"/>
                <w:iCs w:val="false"/>
                <w:color w:val="333333"/>
                <w:sz w:val="20"/>
                <w:szCs w:val="20"/>
              </w:rPr>
              <w:t xml:space="preserve">Built the complete RAG pipeline (ingestion, chunking, embedding, retrieval, generation); implemented three chunking strategies and three chunk-size variants; designed the Streamlit UI with dark-themed CSS, animated sidebar, pipeline diagram, and interactive Plotly charts; created the evaluation dashboard with IR metrics (Hit Rate @k, MRR) and strategy/chunk-size comparison tabs; debugged Windows-specific issues; created the GitHub repository and deployed to Streamlit Cloud.</w:t>
            </w:r>
          </w:p>
        </w:tc>
      </w:tr>
      <w:tr>
        <w:tc>
          <w:tcPr>
            <w:tcW w:type="dxa" w:w="1800"/>
            <w:tcBorders>
              <w:top w:val="single" w:color="B0B0B0" w:sz="4"/>
              <w:left w:val="single" w:color="B0B0B0" w:sz="4"/>
              <w:bottom w:val="single" w:color="B0B0B0" w:sz="4"/>
              <w:right w:val="single" w:color="B0B0B0" w:sz="4"/>
            </w:tcBorders>
            <w:shd w:fill="FFFFFF" w:val="clear"/>
            <w:tcMar>
              <w:top w:type="dxa" w:w="60"/>
              <w:left w:type="dxa" w:w="100"/>
              <w:bottom w:type="dxa" w:w="60"/>
              <w:right w:type="dxa" w:w="100"/>
            </w:tcMar>
          </w:tcPr>
          <w:p>
            <w:pPr>
              <w:spacing w:after="0"/>
              <w:jc w:val="left"/>
            </w:pPr>
            <w:r>
              <w:rPr>
                <w:rFonts w:ascii="Times New Roman" w:cs="Times New Roman" w:eastAsia="Times New Roman" w:hAnsi="Times New Roman"/>
                <w:b/>
                <w:bCs/>
                <w:i w:val="false"/>
                <w:iCs w:val="false"/>
                <w:color w:val="333333"/>
                <w:sz w:val="22"/>
                <w:szCs w:val="22"/>
              </w:rPr>
              <w:t xml:space="preserve">Groq API</w:t>
            </w:r>
          </w:p>
        </w:tc>
        <w:tc>
          <w:tcPr>
            <w:tcW w:type="dxa" w:w="2200"/>
            <w:tcBorders>
              <w:top w:val="single" w:color="B0B0B0" w:sz="4"/>
              <w:left w:val="single" w:color="B0B0B0" w:sz="4"/>
              <w:bottom w:val="single" w:color="B0B0B0" w:sz="4"/>
              <w:right w:val="single" w:color="B0B0B0" w:sz="4"/>
            </w:tcBorders>
            <w:shd w:fill="FFFFFF" w:val="clear"/>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i w:val="false"/>
                <w:iCs w:val="false"/>
                <w:color w:val="333333"/>
                <w:sz w:val="22"/>
                <w:szCs w:val="22"/>
              </w:rPr>
              <w:t xml:space="preserve">LLM inference (free tier)</w:t>
            </w:r>
          </w:p>
        </w:tc>
        <w:tc>
          <w:tcPr>
            <w:tcW w:type="dxa" w:w="5840"/>
            <w:tcBorders>
              <w:top w:val="single" w:color="B0B0B0" w:sz="4"/>
              <w:left w:val="single" w:color="B0B0B0" w:sz="4"/>
              <w:bottom w:val="single" w:color="B0B0B0" w:sz="4"/>
              <w:right w:val="single" w:color="B0B0B0" w:sz="4"/>
            </w:tcBorders>
            <w:shd w:fill="FFFFFF" w:val="clear"/>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i w:val="false"/>
                <w:iCs w:val="false"/>
                <w:color w:val="333333"/>
                <w:sz w:val="20"/>
                <w:szCs w:val="20"/>
              </w:rPr>
              <w:t xml:space="preserve">Hosted the Llama 3.3 70B Versatile model for answer generation via an OpenAI-compatible API endpoint. Used for both RAG-grounded answers and plain LLM comparison mode.</w:t>
            </w:r>
          </w:p>
        </w:tc>
      </w:tr>
      <w:tr>
        <w:tc>
          <w:tcPr>
            <w:tcW w:type="dxa" w:w="1800"/>
            <w:tcBorders>
              <w:top w:val="single" w:color="B0B0B0" w:sz="4"/>
              <w:left w:val="single" w:color="B0B0B0" w:sz="4"/>
              <w:bottom w:val="single" w:color="B0B0B0" w:sz="4"/>
              <w:right w:val="single" w:color="B0B0B0" w:sz="4"/>
            </w:tcBorders>
            <w:shd w:fill="F2F2F2" w:val="clear"/>
            <w:tcMar>
              <w:top w:type="dxa" w:w="60"/>
              <w:left w:type="dxa" w:w="100"/>
              <w:bottom w:type="dxa" w:w="60"/>
              <w:right w:type="dxa" w:w="100"/>
            </w:tcMar>
          </w:tcPr>
          <w:p>
            <w:pPr>
              <w:spacing w:after="0"/>
              <w:jc w:val="left"/>
            </w:pPr>
            <w:r>
              <w:rPr>
                <w:rFonts w:ascii="Times New Roman" w:cs="Times New Roman" w:eastAsia="Times New Roman" w:hAnsi="Times New Roman"/>
                <w:b/>
                <w:bCs/>
                <w:i w:val="false"/>
                <w:iCs w:val="false"/>
                <w:color w:val="333333"/>
                <w:sz w:val="22"/>
                <w:szCs w:val="22"/>
              </w:rPr>
              <w:t xml:space="preserve">ChromaDB</w:t>
            </w:r>
          </w:p>
        </w:tc>
        <w:tc>
          <w:tcPr>
            <w:tcW w:type="dxa" w:w="2200"/>
            <w:tcBorders>
              <w:top w:val="single" w:color="B0B0B0" w:sz="4"/>
              <w:left w:val="single" w:color="B0B0B0" w:sz="4"/>
              <w:bottom w:val="single" w:color="B0B0B0" w:sz="4"/>
              <w:right w:val="single" w:color="B0B0B0" w:sz="4"/>
            </w:tcBorders>
            <w:shd w:fill="F2F2F2" w:val="clear"/>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i w:val="false"/>
                <w:iCs w:val="false"/>
                <w:color w:val="333333"/>
                <w:sz w:val="22"/>
                <w:szCs w:val="22"/>
              </w:rPr>
              <w:t xml:space="preserve">Vector database</w:t>
            </w:r>
          </w:p>
        </w:tc>
        <w:tc>
          <w:tcPr>
            <w:tcW w:type="dxa" w:w="5840"/>
            <w:tcBorders>
              <w:top w:val="single" w:color="B0B0B0" w:sz="4"/>
              <w:left w:val="single" w:color="B0B0B0" w:sz="4"/>
              <w:bottom w:val="single" w:color="B0B0B0" w:sz="4"/>
              <w:right w:val="single" w:color="B0B0B0" w:sz="4"/>
            </w:tcBorders>
            <w:shd w:fill="F2F2F2" w:val="clear"/>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i w:val="false"/>
                <w:iCs w:val="false"/>
                <w:color w:val="333333"/>
                <w:sz w:val="20"/>
                <w:szCs w:val="20"/>
              </w:rPr>
              <w:t xml:space="preserve">Stored embedded document chunks with metadata (document name, page numbers) in persistent local collections. Separate collections maintained for each chunking strategy.</w:t>
            </w:r>
          </w:p>
        </w:tc>
      </w:tr>
      <w:tr>
        <w:tc>
          <w:tcPr>
            <w:tcW w:type="dxa" w:w="1800"/>
            <w:tcBorders>
              <w:top w:val="single" w:color="B0B0B0" w:sz="4"/>
              <w:left w:val="single" w:color="B0B0B0" w:sz="4"/>
              <w:bottom w:val="single" w:color="B0B0B0" w:sz="4"/>
              <w:right w:val="single" w:color="B0B0B0" w:sz="4"/>
            </w:tcBorders>
            <w:shd w:fill="FFFFFF" w:val="clear"/>
            <w:tcMar>
              <w:top w:type="dxa" w:w="60"/>
              <w:left w:type="dxa" w:w="100"/>
              <w:bottom w:type="dxa" w:w="60"/>
              <w:right w:type="dxa" w:w="100"/>
            </w:tcMar>
          </w:tcPr>
          <w:p>
            <w:pPr>
              <w:spacing w:after="0"/>
              <w:jc w:val="left"/>
            </w:pPr>
            <w:r>
              <w:rPr>
                <w:rFonts w:ascii="Times New Roman" w:cs="Times New Roman" w:eastAsia="Times New Roman" w:hAnsi="Times New Roman"/>
                <w:b/>
                <w:bCs/>
                <w:i w:val="false"/>
                <w:iCs w:val="false"/>
                <w:color w:val="333333"/>
                <w:sz w:val="22"/>
                <w:szCs w:val="22"/>
              </w:rPr>
              <w:t xml:space="preserve">Sentence-Transformers</w:t>
            </w:r>
          </w:p>
        </w:tc>
        <w:tc>
          <w:tcPr>
            <w:tcW w:type="dxa" w:w="2200"/>
            <w:tcBorders>
              <w:top w:val="single" w:color="B0B0B0" w:sz="4"/>
              <w:left w:val="single" w:color="B0B0B0" w:sz="4"/>
              <w:bottom w:val="single" w:color="B0B0B0" w:sz="4"/>
              <w:right w:val="single" w:color="B0B0B0" w:sz="4"/>
            </w:tcBorders>
            <w:shd w:fill="FFFFFF" w:val="clear"/>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i w:val="false"/>
                <w:iCs w:val="false"/>
                <w:color w:val="333333"/>
                <w:sz w:val="22"/>
                <w:szCs w:val="22"/>
              </w:rPr>
              <w:t xml:space="preserve">Embedding model</w:t>
            </w:r>
          </w:p>
        </w:tc>
        <w:tc>
          <w:tcPr>
            <w:tcW w:type="dxa" w:w="5840"/>
            <w:tcBorders>
              <w:top w:val="single" w:color="B0B0B0" w:sz="4"/>
              <w:left w:val="single" w:color="B0B0B0" w:sz="4"/>
              <w:bottom w:val="single" w:color="B0B0B0" w:sz="4"/>
              <w:right w:val="single" w:color="B0B0B0" w:sz="4"/>
            </w:tcBorders>
            <w:shd w:fill="FFFFFF" w:val="clear"/>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i w:val="false"/>
                <w:iCs w:val="false"/>
                <w:color w:val="333333"/>
                <w:sz w:val="20"/>
                <w:szCs w:val="20"/>
              </w:rPr>
              <w:t xml:space="preserve">all-MiniLM-L6-v2 model used to encode document chunks and user queries into 384-dimensional dense vectors for cosine similarity retrieval.</w:t>
            </w:r>
          </w:p>
        </w:tc>
      </w:tr>
    </w:tbl>
    <w:p>
      <w:pPr>
        <w:spacing w:after="120" w:before="280"/>
      </w:pPr>
      <w:r>
        <w:rPr>
          <w:rFonts w:ascii="Times New Roman" w:cs="Times New Roman" w:eastAsia="Times New Roman" w:hAnsi="Times New Roman"/>
          <w:b/>
          <w:bCs/>
          <w:color w:val="00337F"/>
          <w:sz w:val="26"/>
          <w:szCs w:val="26"/>
        </w:rPr>
        <w:t xml:space="preserve">5. Source Inputs</w:t>
      </w:r>
    </w:p>
    <w:p>
      <w:pPr>
        <w:spacing w:after="120" w:before="0" w:line="276"/>
        <w:jc w:val="both"/>
      </w:pPr>
      <w:r>
        <w:rPr>
          <w:rFonts w:ascii="Times New Roman" w:cs="Times New Roman" w:eastAsia="Times New Roman" w:hAnsi="Times New Roman"/>
          <w:color w:val="333333"/>
          <w:sz w:val="22"/>
          <w:szCs w:val="22"/>
        </w:rPr>
        <w:t xml:space="preserve">The following course materials and engineering documents were used as inputs to the AI-assisted workflow:</w:t>
      </w:r>
    </w:p>
    <w:p>
      <w:pPr>
        <w:pStyle w:val="ListParagraph"/>
        <w:numPr>
          <w:ilvl w:val="0"/>
          <w:numId w:val="2"/>
        </w:numPr>
        <w:spacing w:after="120" w:before="0" w:line="276"/>
        <w:jc w:val="both"/>
      </w:pPr>
      <w:r>
        <w:rPr>
          <w:rFonts w:ascii="Times New Roman" w:cs="Times New Roman" w:eastAsia="Times New Roman" w:hAnsi="Times New Roman"/>
          <w:color w:val="333333"/>
          <w:sz w:val="22"/>
          <w:szCs w:val="22"/>
        </w:rPr>
        <w:t xml:space="preserve">Assignment 3 instructions and evaluation criteria</w:t>
      </w:r>
    </w:p>
    <w:p>
      <w:pPr>
        <w:pStyle w:val="ListParagraph"/>
        <w:numPr>
          <w:ilvl w:val="0"/>
          <w:numId w:val="2"/>
        </w:numPr>
        <w:spacing w:after="120" w:before="0" w:line="276"/>
        <w:jc w:val="both"/>
      </w:pPr>
      <w:r>
        <w:rPr>
          <w:rFonts w:ascii="Times New Roman" w:cs="Times New Roman" w:eastAsia="Times New Roman" w:hAnsi="Times New Roman"/>
          <w:color w:val="333333"/>
          <w:sz w:val="22"/>
          <w:szCs w:val="22"/>
        </w:rPr>
        <w:t xml:space="preserve">Session 6 — Transformer architecture, foundation models, hallucination causes and mitigation, emergent capabilities</w:t>
      </w:r>
    </w:p>
    <w:p>
      <w:pPr>
        <w:pStyle w:val="ListParagraph"/>
        <w:numPr>
          <w:ilvl w:val="0"/>
          <w:numId w:val="2"/>
        </w:numPr>
        <w:spacing w:after="120" w:before="0" w:line="276"/>
        <w:jc w:val="both"/>
      </w:pPr>
      <w:r>
        <w:rPr>
          <w:rFonts w:ascii="Times New Roman" w:cs="Times New Roman" w:eastAsia="Times New Roman" w:hAnsi="Times New Roman"/>
          <w:color w:val="333333"/>
          <w:sz w:val="22"/>
          <w:szCs w:val="22"/>
        </w:rPr>
        <w:t xml:space="preserve">Session 7 — Post-training alignment (SFT, RLHF, DPO), system prompts, safety constraints, Constitutional AI</w:t>
      </w:r>
    </w:p>
    <w:p>
      <w:pPr>
        <w:pStyle w:val="ListParagraph"/>
        <w:numPr>
          <w:ilvl w:val="0"/>
          <w:numId w:val="2"/>
        </w:numPr>
        <w:spacing w:after="120" w:before="0" w:line="276"/>
        <w:jc w:val="both"/>
      </w:pPr>
      <w:r>
        <w:rPr>
          <w:rFonts w:ascii="Times New Roman" w:cs="Times New Roman" w:eastAsia="Times New Roman" w:hAnsi="Times New Roman"/>
          <w:color w:val="333333"/>
          <w:sz w:val="22"/>
          <w:szCs w:val="22"/>
        </w:rPr>
        <w:t xml:space="preserve">Session 8 — RAG pipeline architecture, chunking strategies, embedding models, vector databases, cosine similarity retrieval, grounded generation</w:t>
      </w:r>
    </w:p>
    <w:p>
      <w:pPr>
        <w:pStyle w:val="ListParagraph"/>
        <w:numPr>
          <w:ilvl w:val="0"/>
          <w:numId w:val="2"/>
        </w:numPr>
        <w:spacing w:after="120" w:before="0" w:line="276"/>
        <w:jc w:val="both"/>
      </w:pPr>
      <w:r>
        <w:rPr>
          <w:rFonts w:ascii="Times New Roman" w:cs="Times New Roman" w:eastAsia="Times New Roman" w:hAnsi="Times New Roman"/>
          <w:color w:val="333333"/>
          <w:sz w:val="22"/>
          <w:szCs w:val="22"/>
        </w:rPr>
        <w:t xml:space="preserve">Five GNSS engineering documents: GPS SPS Performance Standard, 3D Mapping-Aided GNSS (Groves), Federal Radionavigation Plan 2021, ZED-F9P Integration Manual, Urban Positioning 3DMA GNSS</w:t>
      </w:r>
    </w:p>
    <w:p>
      <w:pPr>
        <w:pStyle w:val="ListParagraph"/>
        <w:numPr>
          <w:ilvl w:val="0"/>
          <w:numId w:val="2"/>
        </w:numPr>
        <w:spacing w:after="120" w:before="0" w:line="276"/>
        <w:jc w:val="both"/>
      </w:pPr>
      <w:r>
        <w:rPr>
          <w:rFonts w:ascii="Times New Roman" w:cs="Times New Roman" w:eastAsia="Times New Roman" w:hAnsi="Times New Roman"/>
          <w:color w:val="333333"/>
          <w:sz w:val="22"/>
          <w:szCs w:val="22"/>
        </w:rPr>
        <w:t xml:space="preserve">Group’s GNSS domain knowledge — satellite positioning, multipath, signal degradation, urban canyon effects, RTK surveying</w:t>
      </w:r>
    </w:p>
    <w:p>
      <w:pPr>
        <w:spacing w:after="120" w:before="280"/>
      </w:pPr>
      <w:r>
        <w:rPr>
          <w:rFonts w:ascii="Times New Roman" w:cs="Times New Roman" w:eastAsia="Times New Roman" w:hAnsi="Times New Roman"/>
          <w:b/>
          <w:bCs/>
          <w:color w:val="00337F"/>
          <w:sz w:val="26"/>
          <w:szCs w:val="26"/>
        </w:rPr>
        <w:t xml:space="preserve">6. Group Review and Refinement Process</w:t>
      </w:r>
    </w:p>
    <w:p>
      <w:pPr>
        <w:spacing w:after="120" w:before="0" w:line="276"/>
        <w:jc w:val="both"/>
      </w:pPr>
      <w:r>
        <w:rPr>
          <w:rFonts w:ascii="Times New Roman" w:cs="Times New Roman" w:eastAsia="Times New Roman" w:hAnsi="Times New Roman"/>
          <w:color w:val="333333"/>
          <w:sz w:val="22"/>
          <w:szCs w:val="22"/>
        </w:rPr>
        <w:t xml:space="preserve">All AI-generated outputs were reviewed collaboratively by the group before inclusion in the final submission. The review process verified that the final materials clearly addressed:</w:t>
      </w:r>
    </w:p>
    <w:p>
      <w:pPr>
        <w:pStyle w:val="ListParagraph"/>
        <w:numPr>
          <w:ilvl w:val="0"/>
          <w:numId w:val="2"/>
        </w:numPr>
        <w:spacing w:after="120" w:before="0" w:line="276"/>
        <w:jc w:val="both"/>
      </w:pPr>
      <w:r>
        <w:rPr>
          <w:rFonts w:ascii="Times New Roman" w:cs="Times New Roman" w:eastAsia="Times New Roman" w:hAnsi="Times New Roman"/>
          <w:color w:val="333333"/>
          <w:sz w:val="22"/>
          <w:szCs w:val="22"/>
        </w:rPr>
        <w:t xml:space="preserve">RAG pipeline completeness — full document-to-answer pipeline with PDF ingestion, chunking, embedding, vector storage, retrieval, and grounded generation</w:t>
      </w:r>
    </w:p>
    <w:p>
      <w:pPr>
        <w:pStyle w:val="ListParagraph"/>
        <w:numPr>
          <w:ilvl w:val="0"/>
          <w:numId w:val="2"/>
        </w:numPr>
        <w:spacing w:after="120" w:before="0" w:line="276"/>
        <w:jc w:val="both"/>
      </w:pPr>
      <w:r>
        <w:rPr>
          <w:rFonts w:ascii="Times New Roman" w:cs="Times New Roman" w:eastAsia="Times New Roman" w:hAnsi="Times New Roman"/>
          <w:color w:val="333333"/>
          <w:sz w:val="22"/>
          <w:szCs w:val="22"/>
        </w:rPr>
        <w:t xml:space="preserve">Hallucination mitigation — system prompt enforces source-only answers with [Source: Document, pp. X–Y] citations; comparison mode demonstrates RAG vs. plain LLM</w:t>
      </w:r>
    </w:p>
    <w:p>
      <w:pPr>
        <w:pStyle w:val="ListParagraph"/>
        <w:numPr>
          <w:ilvl w:val="0"/>
          <w:numId w:val="2"/>
        </w:numPr>
        <w:spacing w:after="120" w:before="0" w:line="276"/>
        <w:jc w:val="both"/>
      </w:pPr>
      <w:r>
        <w:rPr>
          <w:rFonts w:ascii="Times New Roman" w:cs="Times New Roman" w:eastAsia="Times New Roman" w:hAnsi="Times New Roman"/>
          <w:color w:val="333333"/>
          <w:sz w:val="22"/>
          <w:szCs w:val="22"/>
        </w:rPr>
        <w:t xml:space="preserve">Multiple chunking strategies — fixed-size (676 chunks), sentence-based (1,515 chunks), and semantic similarity (2,880 chunks) stored in separate collections</w:t>
      </w:r>
    </w:p>
    <w:p>
      <w:pPr>
        <w:pStyle w:val="ListParagraph"/>
        <w:numPr>
          <w:ilvl w:val="0"/>
          <w:numId w:val="2"/>
        </w:numPr>
        <w:spacing w:after="120" w:before="0" w:line="276"/>
        <w:jc w:val="both"/>
      </w:pPr>
      <w:r>
        <w:rPr>
          <w:rFonts w:ascii="Times New Roman" w:cs="Times New Roman" w:eastAsia="Times New Roman" w:hAnsi="Times New Roman"/>
          <w:color w:val="333333"/>
          <w:sz w:val="22"/>
          <w:szCs w:val="22"/>
        </w:rPr>
        <w:t xml:space="preserve">Chunk-size comparison — three fixed-size variants (200 tokens / 1,728 chunks, 512 tokens / 676 chunks, 1,000 tokens / 346 chunks) with hit rate bar charts, matching the Session 8 slides 27–28 deliverable</w:t>
      </w:r>
    </w:p>
    <w:p>
      <w:pPr>
        <w:pStyle w:val="ListParagraph"/>
        <w:numPr>
          <w:ilvl w:val="0"/>
          <w:numId w:val="2"/>
        </w:numPr>
        <w:spacing w:after="120" w:before="0" w:line="276"/>
        <w:jc w:val="both"/>
      </w:pPr>
      <w:r>
        <w:rPr>
          <w:rFonts w:ascii="Times New Roman" w:cs="Times New Roman" w:eastAsia="Times New Roman" w:hAnsi="Times New Roman"/>
          <w:color w:val="333333"/>
          <w:sz w:val="22"/>
          <w:szCs w:val="22"/>
        </w:rPr>
        <w:t xml:space="preserve">Evaluation rigour — six diverse GNSS test scenarios with IR metrics (Hit Rate @k, MRR per Session 8 slide 26), granular latency breakdown (embedding/retrieval/generation per slide 22), citation rate tracking, and per-document retrieval frequency analysis</w:t>
      </w:r>
    </w:p>
    <w:p>
      <w:pPr>
        <w:pStyle w:val="ListParagraph"/>
        <w:numPr>
          <w:ilvl w:val="0"/>
          <w:numId w:val="2"/>
        </w:numPr>
        <w:spacing w:after="120" w:before="0" w:line="276"/>
        <w:jc w:val="both"/>
      </w:pPr>
      <w:r>
        <w:rPr>
          <w:rFonts w:ascii="Times New Roman" w:cs="Times New Roman" w:eastAsia="Times New Roman" w:hAnsi="Times New Roman"/>
          <w:color w:val="333333"/>
          <w:sz w:val="22"/>
          <w:szCs w:val="22"/>
        </w:rPr>
        <w:t xml:space="preserve">Interactive Plotly visualizations — donut chart for latency breakdown, colour-coded relevance bars, grouped strategy comparison charts, hit rate bars, and gradient search latency charts, all matching the dark navy + cyan dashboard theme</w:t>
      </w:r>
    </w:p>
    <w:p>
      <w:pPr>
        <w:pStyle w:val="ListParagraph"/>
        <w:numPr>
          <w:ilvl w:val="0"/>
          <w:numId w:val="2"/>
        </w:numPr>
        <w:spacing w:after="120" w:before="0" w:line="276"/>
        <w:jc w:val="both"/>
      </w:pPr>
      <w:r>
        <w:rPr>
          <w:rFonts w:ascii="Times New Roman" w:cs="Times New Roman" w:eastAsia="Times New Roman" w:hAnsi="Times New Roman"/>
          <w:color w:val="333333"/>
          <w:sz w:val="22"/>
          <w:szCs w:val="22"/>
        </w:rPr>
        <w:t xml:space="preserve">Session concept mapping — each feature explicitly tied to concepts from Sessions 6, 7, or 8</w:t>
      </w:r>
    </w:p>
    <w:p>
      <w:pPr>
        <w:spacing w:after="120" w:before="0" w:line="276"/>
        <w:jc w:val="both"/>
      </w:pPr>
      <w:r>
        <w:rPr>
          <w:rFonts w:ascii="Times New Roman" w:cs="Times New Roman" w:eastAsia="Times New Roman" w:hAnsi="Times New Roman"/>
          <w:color w:val="333333"/>
          <w:sz w:val="22"/>
          <w:szCs w:val="22"/>
        </w:rPr>
        <w:t xml:space="preserve">Revisions were made iteratively until the group agreed that the final work was technically sound, visually polished, and fully responsive to the assignment requirements.</w:t>
      </w:r>
    </w:p>
    <w:p>
      <w:pPr>
        <w:spacing w:after="120" w:before="280"/>
      </w:pPr>
      <w:r>
        <w:rPr>
          <w:rFonts w:ascii="Times New Roman" w:cs="Times New Roman" w:eastAsia="Times New Roman" w:hAnsi="Times New Roman"/>
          <w:b/>
          <w:bCs/>
          <w:color w:val="00337F"/>
          <w:sz w:val="26"/>
          <w:szCs w:val="26"/>
        </w:rPr>
        <w:t xml:space="preserve">7. Final Submission Artifacts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600"/>
        <w:gridCol w:w="2000"/>
        <w:gridCol w:w="1200"/>
        <w:gridCol w:w="6040"/>
      </w:tblGrid>
      <w:tr>
        <w:tc>
          <w:tcPr>
            <w:tcW w:type="dxa" w:w="600"/>
            <w:tcBorders>
              <w:top w:val="single" w:color="B0B0B0" w:sz="4"/>
              <w:left w:val="single" w:color="B0B0B0" w:sz="4"/>
              <w:bottom w:val="single" w:color="B0B0B0" w:sz="4"/>
              <w:right w:val="single" w:color="B0B0B0" w:sz="4"/>
            </w:tcBorders>
            <w:shd w:fill="00337F" w:val="clear"/>
            <w:tcMar>
              <w:top w:type="dxa" w:w="60"/>
              <w:left w:type="dxa" w:w="100"/>
              <w:bottom w:type="dxa" w:w="60"/>
              <w:right w:type="dxa" w:w="100"/>
            </w:tcMar>
          </w:tcPr>
          <w:p>
            <w:pPr>
              <w:spacing w:after="0"/>
              <w:jc w:val="center"/>
            </w:pPr>
            <w:r>
              <w:rPr>
                <w:rFonts w:ascii="Times New Roman" w:cs="Times New Roman" w:eastAsia="Times New Roman" w:hAnsi="Times New Roman"/>
                <w:b/>
                <w:bCs/>
                <w:i w:val="false"/>
                <w:iCs w:val="false"/>
                <w:color w:val="FFFFFF"/>
                <w:sz w:val="22"/>
                <w:szCs w:val="22"/>
              </w:rPr>
              <w:t xml:space="preserve">#</w:t>
            </w:r>
          </w:p>
        </w:tc>
        <w:tc>
          <w:tcPr>
            <w:tcW w:type="dxa" w:w="2000"/>
            <w:tcBorders>
              <w:top w:val="single" w:color="B0B0B0" w:sz="4"/>
              <w:left w:val="single" w:color="B0B0B0" w:sz="4"/>
              <w:bottom w:val="single" w:color="B0B0B0" w:sz="4"/>
              <w:right w:val="single" w:color="B0B0B0" w:sz="4"/>
            </w:tcBorders>
            <w:shd w:fill="00337F" w:val="clear"/>
            <w:tcMar>
              <w:top w:type="dxa" w:w="60"/>
              <w:left w:type="dxa" w:w="100"/>
              <w:bottom w:type="dxa" w:w="60"/>
              <w:right w:type="dxa" w:w="100"/>
            </w:tcMar>
          </w:tcPr>
          <w:p>
            <w:pPr>
              <w:spacing w:after="0"/>
              <w:jc w:val="center"/>
            </w:pPr>
            <w:r>
              <w:rPr>
                <w:rFonts w:ascii="Times New Roman" w:cs="Times New Roman" w:eastAsia="Times New Roman" w:hAnsi="Times New Roman"/>
                <w:b/>
                <w:bCs/>
                <w:i w:val="false"/>
                <w:iCs w:val="false"/>
                <w:color w:val="FFFFFF"/>
                <w:sz w:val="22"/>
                <w:szCs w:val="22"/>
              </w:rPr>
              <w:t xml:space="preserve">Artifact</w:t>
            </w:r>
          </w:p>
        </w:tc>
        <w:tc>
          <w:tcPr>
            <w:tcW w:type="dxa" w:w="1200"/>
            <w:tcBorders>
              <w:top w:val="single" w:color="B0B0B0" w:sz="4"/>
              <w:left w:val="single" w:color="B0B0B0" w:sz="4"/>
              <w:bottom w:val="single" w:color="B0B0B0" w:sz="4"/>
              <w:right w:val="single" w:color="B0B0B0" w:sz="4"/>
            </w:tcBorders>
            <w:shd w:fill="00337F" w:val="clear"/>
            <w:tcMar>
              <w:top w:type="dxa" w:w="60"/>
              <w:left w:type="dxa" w:w="100"/>
              <w:bottom w:type="dxa" w:w="60"/>
              <w:right w:type="dxa" w:w="100"/>
            </w:tcMar>
          </w:tcPr>
          <w:p>
            <w:pPr>
              <w:spacing w:after="0"/>
              <w:jc w:val="center"/>
            </w:pPr>
            <w:r>
              <w:rPr>
                <w:rFonts w:ascii="Times New Roman" w:cs="Times New Roman" w:eastAsia="Times New Roman" w:hAnsi="Times New Roman"/>
                <w:b/>
                <w:bCs/>
                <w:i w:val="false"/>
                <w:iCs w:val="false"/>
                <w:color w:val="FFFFFF"/>
                <w:sz w:val="22"/>
                <w:szCs w:val="22"/>
              </w:rPr>
              <w:t xml:space="preserve">Format</w:t>
            </w:r>
          </w:p>
        </w:tc>
        <w:tc>
          <w:tcPr>
            <w:tcW w:type="dxa" w:w="6040"/>
            <w:tcBorders>
              <w:top w:val="single" w:color="B0B0B0" w:sz="4"/>
              <w:left w:val="single" w:color="B0B0B0" w:sz="4"/>
              <w:bottom w:val="single" w:color="B0B0B0" w:sz="4"/>
              <w:right w:val="single" w:color="B0B0B0" w:sz="4"/>
            </w:tcBorders>
            <w:shd w:fill="00337F" w:val="clear"/>
            <w:tcMar>
              <w:top w:type="dxa" w:w="60"/>
              <w:left w:type="dxa" w:w="100"/>
              <w:bottom w:type="dxa" w:w="60"/>
              <w:right w:type="dxa" w:w="100"/>
            </w:tcMar>
          </w:tcPr>
          <w:p>
            <w:pPr>
              <w:spacing w:after="0"/>
              <w:jc w:val="left"/>
            </w:pPr>
            <w:r>
              <w:rPr>
                <w:rFonts w:ascii="Times New Roman" w:cs="Times New Roman" w:eastAsia="Times New Roman" w:hAnsi="Times New Roman"/>
                <w:b/>
                <w:bCs/>
                <w:i w:val="false"/>
                <w:iCs w:val="false"/>
                <w:color w:val="FFFFFF"/>
                <w:sz w:val="22"/>
                <w:szCs w:val="22"/>
              </w:rPr>
              <w:t xml:space="preserve">Description</w:t>
            </w:r>
          </w:p>
        </w:tc>
      </w:tr>
      <w:tr>
        <w:tc>
          <w:tcPr>
            <w:tcW w:type="dxa" w:w="600"/>
            <w:tcBorders>
              <w:top w:val="single" w:color="B0B0B0" w:sz="4"/>
              <w:left w:val="single" w:color="B0B0B0" w:sz="4"/>
              <w:bottom w:val="single" w:color="B0B0B0" w:sz="4"/>
              <w:right w:val="single" w:color="B0B0B0" w:sz="4"/>
            </w:tcBorders>
            <w:shd w:fill="F2F2F2" w:val="clear"/>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i w:val="false"/>
                <w:iCs w:val="false"/>
                <w:color w:val="333333"/>
                <w:sz w:val="22"/>
                <w:szCs w:val="22"/>
              </w:rPr>
              <w:t xml:space="preserve">1</w:t>
            </w:r>
          </w:p>
        </w:tc>
        <w:tc>
          <w:tcPr>
            <w:tcW w:type="dxa" w:w="2000"/>
            <w:tcBorders>
              <w:top w:val="single" w:color="B0B0B0" w:sz="4"/>
              <w:left w:val="single" w:color="B0B0B0" w:sz="4"/>
              <w:bottom w:val="single" w:color="B0B0B0" w:sz="4"/>
              <w:right w:val="single" w:color="B0B0B0" w:sz="4"/>
            </w:tcBorders>
            <w:shd w:fill="F2F2F2" w:val="clear"/>
            <w:tcMar>
              <w:top w:type="dxa" w:w="60"/>
              <w:left w:type="dxa" w:w="100"/>
              <w:bottom w:type="dxa" w:w="60"/>
              <w:right w:type="dxa" w:w="100"/>
            </w:tcMar>
          </w:tcPr>
          <w:p>
            <w:pPr>
              <w:spacing w:after="0"/>
              <w:jc w:val="left"/>
            </w:pPr>
            <w:r>
              <w:rPr>
                <w:rFonts w:ascii="Times New Roman" w:cs="Times New Roman" w:eastAsia="Times New Roman" w:hAnsi="Times New Roman"/>
                <w:b/>
                <w:bCs/>
                <w:i w:val="false"/>
                <w:iCs w:val="false"/>
                <w:color w:val="333333"/>
                <w:sz w:val="22"/>
                <w:szCs w:val="22"/>
              </w:rPr>
              <w:t xml:space="preserve">AI Process Log</w:t>
            </w:r>
          </w:p>
        </w:tc>
        <w:tc>
          <w:tcPr>
            <w:tcW w:type="dxa" w:w="1200"/>
            <w:tcBorders>
              <w:top w:val="single" w:color="B0B0B0" w:sz="4"/>
              <w:left w:val="single" w:color="B0B0B0" w:sz="4"/>
              <w:bottom w:val="single" w:color="B0B0B0" w:sz="4"/>
              <w:right w:val="single" w:color="B0B0B0" w:sz="4"/>
            </w:tcBorders>
            <w:shd w:fill="F2F2F2" w:val="clear"/>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i w:val="false"/>
                <w:iCs w:val="false"/>
                <w:color w:val="333333"/>
                <w:sz w:val="22"/>
                <w:szCs w:val="22"/>
              </w:rPr>
              <w:t xml:space="preserve">.docx</w:t>
            </w:r>
          </w:p>
        </w:tc>
        <w:tc>
          <w:tcPr>
            <w:tcW w:type="dxa" w:w="6040"/>
            <w:tcBorders>
              <w:top w:val="single" w:color="B0B0B0" w:sz="4"/>
              <w:left w:val="single" w:color="B0B0B0" w:sz="4"/>
              <w:bottom w:val="single" w:color="B0B0B0" w:sz="4"/>
              <w:right w:val="single" w:color="B0B0B0" w:sz="4"/>
            </w:tcBorders>
            <w:shd w:fill="F2F2F2" w:val="clear"/>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i w:val="false"/>
                <w:iCs w:val="false"/>
                <w:color w:val="333333"/>
                <w:sz w:val="20"/>
                <w:szCs w:val="20"/>
              </w:rPr>
              <w:t xml:space="preserve">This document — records the group’s AI-assisted workflow, tools used, review process, and final deliverables.</w:t>
            </w:r>
          </w:p>
        </w:tc>
      </w:tr>
      <w:tr>
        <w:tc>
          <w:tcPr>
            <w:tcW w:type="dxa" w:w="600"/>
            <w:tcBorders>
              <w:top w:val="single" w:color="B0B0B0" w:sz="4"/>
              <w:left w:val="single" w:color="B0B0B0" w:sz="4"/>
              <w:bottom w:val="single" w:color="B0B0B0" w:sz="4"/>
              <w:right w:val="single" w:color="B0B0B0" w:sz="4"/>
            </w:tcBorders>
            <w:shd w:fill="FFFFFF" w:val="clear"/>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i w:val="false"/>
                <w:iCs w:val="false"/>
                <w:color w:val="333333"/>
                <w:sz w:val="22"/>
                <w:szCs w:val="22"/>
              </w:rPr>
              <w:t xml:space="preserve">2</w:t>
            </w:r>
          </w:p>
        </w:tc>
        <w:tc>
          <w:tcPr>
            <w:tcW w:type="dxa" w:w="2000"/>
            <w:tcBorders>
              <w:top w:val="single" w:color="B0B0B0" w:sz="4"/>
              <w:left w:val="single" w:color="B0B0B0" w:sz="4"/>
              <w:bottom w:val="single" w:color="B0B0B0" w:sz="4"/>
              <w:right w:val="single" w:color="B0B0B0" w:sz="4"/>
            </w:tcBorders>
            <w:shd w:fill="FFFFFF" w:val="clear"/>
            <w:tcMar>
              <w:top w:type="dxa" w:w="60"/>
              <w:left w:type="dxa" w:w="100"/>
              <w:bottom w:type="dxa" w:w="60"/>
              <w:right w:type="dxa" w:w="100"/>
            </w:tcMar>
          </w:tcPr>
          <w:p>
            <w:pPr>
              <w:spacing w:after="0"/>
              <w:jc w:val="left"/>
            </w:pPr>
            <w:r>
              <w:rPr>
                <w:rFonts w:ascii="Times New Roman" w:cs="Times New Roman" w:eastAsia="Times New Roman" w:hAnsi="Times New Roman"/>
                <w:b/>
                <w:bCs/>
                <w:i w:val="false"/>
                <w:iCs w:val="false"/>
                <w:color w:val="333333"/>
                <w:sz w:val="22"/>
                <w:szCs w:val="22"/>
              </w:rPr>
              <w:t xml:space="preserve">Interactive Dashboard</w:t>
            </w:r>
          </w:p>
        </w:tc>
        <w:tc>
          <w:tcPr>
            <w:tcW w:type="dxa" w:w="1200"/>
            <w:tcBorders>
              <w:top w:val="single" w:color="B0B0B0" w:sz="4"/>
              <w:left w:val="single" w:color="B0B0B0" w:sz="4"/>
              <w:bottom w:val="single" w:color="B0B0B0" w:sz="4"/>
              <w:right w:val="single" w:color="B0B0B0" w:sz="4"/>
            </w:tcBorders>
            <w:shd w:fill="FFFFFF" w:val="clear"/>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i w:val="false"/>
                <w:iCs w:val="false"/>
                <w:color w:val="333333"/>
                <w:sz w:val="22"/>
                <w:szCs w:val="22"/>
              </w:rPr>
              <w:t xml:space="preserve">Streamlit</w:t>
            </w:r>
          </w:p>
        </w:tc>
        <w:tc>
          <w:tcPr>
            <w:tcW w:type="dxa" w:w="6040"/>
            <w:tcBorders>
              <w:top w:val="single" w:color="B0B0B0" w:sz="4"/>
              <w:left w:val="single" w:color="B0B0B0" w:sz="4"/>
              <w:bottom w:val="single" w:color="B0B0B0" w:sz="4"/>
              <w:right w:val="single" w:color="B0B0B0" w:sz="4"/>
            </w:tcBorders>
            <w:shd w:fill="FFFFFF" w:val="clear"/>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i w:val="false"/>
                <w:iCs w:val="false"/>
                <w:color w:val="333333"/>
                <w:sz w:val="20"/>
                <w:szCs w:val="20"/>
              </w:rPr>
              <w:t xml:space="preserve">Live web application with three tabs: Q&amp;A (source-cited answers, RAG vs. Plain LLM comparison), Evaluation Dashboard (IR metrics, latency breakdown, Plotly charts), and Strategy Comparison (chunking strategies + chunk-size variants with hit rate bar charts per Session 8 slides 27–28).</w:t>
            </w:r>
          </w:p>
        </w:tc>
      </w:tr>
      <w:tr>
        <w:tc>
          <w:tcPr>
            <w:tcW w:type="dxa" w:w="600"/>
            <w:tcBorders>
              <w:top w:val="single" w:color="B0B0B0" w:sz="4"/>
              <w:left w:val="single" w:color="B0B0B0" w:sz="4"/>
              <w:bottom w:val="single" w:color="B0B0B0" w:sz="4"/>
              <w:right w:val="single" w:color="B0B0B0" w:sz="4"/>
            </w:tcBorders>
            <w:shd w:fill="F2F2F2" w:val="clear"/>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i w:val="false"/>
                <w:iCs w:val="false"/>
                <w:color w:val="333333"/>
                <w:sz w:val="22"/>
                <w:szCs w:val="22"/>
              </w:rPr>
              <w:t xml:space="preserve">3</w:t>
            </w:r>
          </w:p>
        </w:tc>
        <w:tc>
          <w:tcPr>
            <w:tcW w:type="dxa" w:w="2000"/>
            <w:tcBorders>
              <w:top w:val="single" w:color="B0B0B0" w:sz="4"/>
              <w:left w:val="single" w:color="B0B0B0" w:sz="4"/>
              <w:bottom w:val="single" w:color="B0B0B0" w:sz="4"/>
              <w:right w:val="single" w:color="B0B0B0" w:sz="4"/>
            </w:tcBorders>
            <w:shd w:fill="F2F2F2" w:val="clear"/>
            <w:tcMar>
              <w:top w:type="dxa" w:w="60"/>
              <w:left w:type="dxa" w:w="100"/>
              <w:bottom w:type="dxa" w:w="60"/>
              <w:right w:type="dxa" w:w="100"/>
            </w:tcMar>
          </w:tcPr>
          <w:p>
            <w:pPr>
              <w:spacing w:after="0"/>
              <w:jc w:val="left"/>
            </w:pPr>
            <w:r>
              <w:rPr>
                <w:rFonts w:ascii="Times New Roman" w:cs="Times New Roman" w:eastAsia="Times New Roman" w:hAnsi="Times New Roman"/>
                <w:b/>
                <w:bCs/>
                <w:i w:val="false"/>
                <w:iCs w:val="false"/>
                <w:color w:val="333333"/>
                <w:sz w:val="22"/>
                <w:szCs w:val="22"/>
              </w:rPr>
              <w:t xml:space="preserve">Source Code</w:t>
            </w:r>
          </w:p>
        </w:tc>
        <w:tc>
          <w:tcPr>
            <w:tcW w:type="dxa" w:w="1200"/>
            <w:tcBorders>
              <w:top w:val="single" w:color="B0B0B0" w:sz="4"/>
              <w:left w:val="single" w:color="B0B0B0" w:sz="4"/>
              <w:bottom w:val="single" w:color="B0B0B0" w:sz="4"/>
              <w:right w:val="single" w:color="B0B0B0" w:sz="4"/>
            </w:tcBorders>
            <w:shd w:fill="F2F2F2" w:val="clear"/>
            <w:tcMar>
              <w:top w:type="dxa" w:w="60"/>
              <w:left w:type="dxa" w:w="100"/>
              <w:bottom w:type="dxa" w:w="60"/>
              <w:right w:type="dxa" w:w="100"/>
            </w:tcMar>
          </w:tcPr>
          <w:p>
            <w:pPr>
              <w:spacing w:after="0"/>
              <w:jc w:val="center"/>
            </w:pPr>
            <w:r>
              <w:rPr>
                <w:rFonts w:ascii="Times New Roman" w:cs="Times New Roman" w:eastAsia="Times New Roman" w:hAnsi="Times New Roman"/>
                <w:b w:val="false"/>
                <w:bCs w:val="false"/>
                <w:i w:val="false"/>
                <w:iCs w:val="false"/>
                <w:color w:val="333333"/>
                <w:sz w:val="22"/>
                <w:szCs w:val="22"/>
              </w:rPr>
              <w:t xml:space="preserve">GitHub</w:t>
            </w:r>
          </w:p>
        </w:tc>
        <w:tc>
          <w:tcPr>
            <w:tcW w:type="dxa" w:w="6040"/>
            <w:tcBorders>
              <w:top w:val="single" w:color="B0B0B0" w:sz="4"/>
              <w:left w:val="single" w:color="B0B0B0" w:sz="4"/>
              <w:bottom w:val="single" w:color="B0B0B0" w:sz="4"/>
              <w:right w:val="single" w:color="B0B0B0" w:sz="4"/>
            </w:tcBorders>
            <w:shd w:fill="F2F2F2" w:val="clear"/>
            <w:tcMar>
              <w:top w:type="dxa" w:w="60"/>
              <w:left w:type="dxa" w:w="100"/>
              <w:bottom w:type="dxa" w:w="60"/>
              <w:right w:type="dxa" w:w="100"/>
            </w:tcMar>
          </w:tcPr>
          <w:p>
            <w:pPr>
              <w:spacing w:after="0"/>
              <w:jc w:val="left"/>
            </w:pPr>
            <w:r>
              <w:rPr>
                <w:rFonts w:ascii="Times New Roman" w:cs="Times New Roman" w:eastAsia="Times New Roman" w:hAnsi="Times New Roman"/>
                <w:b w:val="false"/>
                <w:bCs w:val="false"/>
                <w:i w:val="false"/>
                <w:iCs w:val="false"/>
                <w:color w:val="333333"/>
                <w:sz w:val="20"/>
                <w:szCs w:val="20"/>
              </w:rPr>
              <w:t xml:space="preserve">Complete Python codebase: app.py (Streamlit UI), rag_pipeline.py (retrieval &amp; generation), ingest.py (PDF processing &amp; chunking), config.py (configuration), and pre-built ChromaDB vector database.</w:t>
            </w:r>
          </w:p>
        </w:tc>
      </w:tr>
    </w:tbl>
    <w:p>
      <w:pPr>
        <w:spacing w:before="160"/>
      </w:pP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B0B0B0" w:sz="4"/>
              <w:left w:val="single" w:color="B0B0B0" w:sz="4"/>
              <w:bottom w:val="single" w:color="B0B0B0" w:sz="4"/>
              <w:right w:val="single" w:color="B0B0B0" w:sz="4"/>
            </w:tcBorders>
            <w:tcMar>
              <w:top w:type="dxa" w:w="80"/>
              <w:left w:type="dxa" w:w="200"/>
              <w:bottom w:type="dxa" w:w="80"/>
              <w:right w:type="dxa" w:w="200"/>
            </w:tcMar>
          </w:tcPr>
          <w:p>
            <w:pPr>
              <w:spacing w:after="20"/>
            </w:pPr>
            <w:r>
              <w:rPr>
                <w:rFonts w:ascii="Times New Roman" w:cs="Times New Roman" w:eastAsia="Times New Roman" w:hAnsi="Times New Roman"/>
                <w:b/>
                <w:bCs/>
                <w:color w:val="00337F"/>
                <w:sz w:val="22"/>
                <w:szCs w:val="22"/>
              </w:rPr>
              <w:t xml:space="preserve">Dashboard Link: </w:t>
            </w:r>
            <w:hyperlink w:history="1" r:id="rId2btvspgvvot1b1cky_agd">
              <w:r>
                <w:rPr>
                  <w:rFonts w:ascii="Times New Roman" w:cs="Times New Roman" w:eastAsia="Times New Roman" w:hAnsi="Times New Roman"/>
                  <w:color w:val="0563C1"/>
                  <w:sz w:val="22"/>
                  <w:szCs w:val="22"/>
                  <w:u w:val="single"/>
                </w:rPr>
                <w:t xml:space="preserve">https://gnss-rag-assistant-gxgbm7dbgfmsxkuycfabmt.streamlit.app/</w:t>
              </w:r>
            </w:hyperlink>
          </w:p>
          <w:p>
            <w:pPr>
              <w:spacing w:after="0"/>
            </w:pPr>
            <w:r>
              <w:rPr>
                <w:rFonts w:ascii="Times New Roman" w:cs="Times New Roman" w:eastAsia="Times New Roman" w:hAnsi="Times New Roman"/>
                <w:b/>
                <w:bCs/>
                <w:color w:val="00337F"/>
                <w:sz w:val="22"/>
                <w:szCs w:val="22"/>
              </w:rPr>
              <w:t xml:space="preserve">GitHub Repository: </w:t>
            </w:r>
            <w:hyperlink w:history="1" r:id="rIdtii4g4qrxpmpmzzrr3j1i">
              <w:r>
                <w:rPr>
                  <w:rFonts w:ascii="Times New Roman" w:cs="Times New Roman" w:eastAsia="Times New Roman" w:hAnsi="Times New Roman"/>
                  <w:color w:val="0563C1"/>
                  <w:sz w:val="22"/>
                  <w:szCs w:val="22"/>
                  <w:u w:val="single"/>
                </w:rPr>
                <w:t xml:space="preserve">https://github.com/Tevin-Wills/gnss-rag-assistant</w:t>
              </w:r>
            </w:hyperlink>
          </w:p>
        </w:tc>
      </w:tr>
    </w:tbl>
    <w:p>
      <w:pPr>
        <w:pBdr>
          <w:bottom w:val="single" w:color="00337F" w:sz="6" w:space="4"/>
        </w:pBdr>
        <w:spacing w:after="40" w:before="40"/>
      </w:pPr>
      <w:r>
        <w:rPr>
          <w:sz w:val="4"/>
          <w:szCs w:val="4"/>
        </w:rPr>
        <w:t xml:space="preserve"/>
      </w:r>
    </w:p>
    <w:p>
      <w:pPr>
        <w:spacing w:after="120" w:before="280"/>
      </w:pPr>
      <w:r>
        <w:rPr>
          <w:rFonts w:ascii="Times New Roman" w:cs="Times New Roman" w:eastAsia="Times New Roman" w:hAnsi="Times New Roman"/>
          <w:b/>
          <w:bCs/>
          <w:color w:val="00337F"/>
          <w:sz w:val="26"/>
          <w:szCs w:val="26"/>
        </w:rPr>
        <w:t xml:space="preserve">8. Closing Statement</w:t>
      </w:r>
    </w:p>
    <w:p>
      <w:pPr>
        <w:spacing w:after="120" w:before="0" w:line="276"/>
        <w:jc w:val="both"/>
      </w:pPr>
      <w:r>
        <w:rPr>
          <w:rFonts w:ascii="Times New Roman" w:cs="Times New Roman" w:eastAsia="Times New Roman" w:hAnsi="Times New Roman"/>
          <w:color w:val="333333"/>
          <w:sz w:val="22"/>
          <w:szCs w:val="22"/>
        </w:rPr>
        <w:t xml:space="preserve">This assignment was completed through a collaborative group workflow in which AI tools were used as production and analysis support. All final decisions on content selection, technical accuracy, refinement, and submission were made collectively by the group members. The AI tools augmented our workflow but did not replace our critical evaluation and domain judgment.</w:t>
      </w:r>
    </w:p>
    <w:p>
      <w:pPr>
        <w:spacing w:after="120" w:before="0" w:line="276"/>
        <w:jc w:val="both"/>
      </w:pPr>
      <w:r>
        <w:rPr>
          <w:rFonts w:ascii="Times New Roman" w:cs="Times New Roman" w:eastAsia="Times New Roman" w:hAnsi="Times New Roman"/>
          <w:color w:val="333333"/>
          <w:sz w:val="22"/>
          <w:szCs w:val="22"/>
        </w:rPr>
        <w:t xml:space="preserve">The resulting prototype validates the central thesis of Sessions 6 through 8: that foundation models require external grounding mechanisms to produce reliable domain-specific outputs. By implementing a complete RAG pipeline over five GNSS engineering documents, the application demonstrates that hallucination can be systematically mitigated through retrieval-augmented architectural design, producing verifiable, source-cited answers across diverse technical scenarios.</w:t>
      </w:r>
    </w:p>
    <w:sectPr>
      <w:headerReference w:type="default" r:id="rId7"/>
      <w:footerReference w:type="default" r:id="rId8"/>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66666"/>
        <w:sz w:val="16"/>
        <w:szCs w:val="16"/>
      </w:rPr>
      <w:t xml:space="preserve">Page </w:t>
    </w:r>
    <w:r>
      <w:rPr>
        <w:rFonts w:ascii="Times New Roman" w:cs="Times New Roman" w:eastAsia="Times New Roman" w:hAnsi="Times New Roman"/>
        <w:color w:val="666666"/>
        <w:sz w:val="16"/>
        <w:szCs w:val="16"/>
      </w:rPr>
      <w:fldChar w:fldCharType="begin"/>
      <w:instrText xml:space="preserve">PAGE</w:instrText>
      <w:fldChar w:fldCharType="separate"/>
      <w:fldChar w:fldCharType="end"/>
    </w:r>
    <w:r>
      <w:rPr>
        <w:rFonts w:ascii="Times New Roman" w:cs="Times New Roman" w:eastAsia="Times New Roman" w:hAnsi="Times New Roman"/>
        <w:color w:val="666666"/>
        <w:sz w:val="16"/>
        <w:szCs w:val="16"/>
      </w:rPr>
      <w:t xml:space="preserve"> of </w:t>
    </w:r>
    <w:r>
      <w:rPr>
        <w:rFonts w:ascii="Times New Roman" w:cs="Times New Roman" w:eastAsia="Times New Roman" w:hAnsi="Times New Roman"/>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026"/>
      </w:tabs>
    </w:pPr>
    <w:r>
      <w:rPr>
        <w:rFonts w:ascii="Times New Roman" w:cs="Times New Roman" w:eastAsia="Times New Roman" w:hAnsi="Times New Roman"/>
        <w:color w:val="666666"/>
        <w:sz w:val="16"/>
        <w:szCs w:val="16"/>
      </w:rPr>
      <w:t xml:space="preserve">Group 14 — Assignment 3 AI Process Log</w:t>
    </w:r>
    <w:r>
      <w:rPr>
        <w:rFonts w:ascii="Times New Roman" w:cs="Times New Roman" w:eastAsia="Times New Roman" w:hAnsi="Times New Roman"/>
        <w:color w:val="666666"/>
        <w:sz w:val="16"/>
        <w:szCs w:val="16"/>
      </w:rPr>
      <w:t xml:space="preserve">	AI &amp; Large Models | Spring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vvcxhqannngc6vncibalo" Type="http://schemas.openxmlformats.org/officeDocument/2006/relationships/hyperlink" Target="https://gnss-rag-assistant-gxgbm7dbgfmsxkuycfabmt.streamlit.app/" TargetMode="External"/><Relationship Id="rIdhbhi1l6xqrslrv4nzdnj4" Type="http://schemas.openxmlformats.org/officeDocument/2006/relationships/hyperlink" Target="https://github.com/Tevin-Wills/gnss-rag-assistant" TargetMode="External"/><Relationship Id="rId2btvspgvvot1b1cky_agd" Type="http://schemas.openxmlformats.org/officeDocument/2006/relationships/hyperlink" Target="https://gnss-rag-assistant-gxgbm7dbgfmsxkuycfabmt.streamlit.app/" TargetMode="External"/><Relationship Id="rIdtii4g4qrxpmpmzzrr3j1i" Type="http://schemas.openxmlformats.org/officeDocument/2006/relationships/hyperlink" Target="https://github.com/Tevin-Wills/gnss-rag-assistant" TargetMode="External"/><Relationship Id="rId9" Type="http://schemas.openxmlformats.org/officeDocument/2006/relationships/image" Target="media/68ee5515e7c00a924430cb320e5c0985c103b4a5.png"/><Relationship Id="rId10" Type="http://schemas.openxmlformats.org/officeDocument/2006/relationships/image" Target="media/b0739b8d53fc2f530fcd07a9ecf2a7e857e7e5ae.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2026-04-05T14:41:14.788Z</dcterms:created>
  <dcterms:modified xsi:type="dcterms:W3CDTF">2026-04-05T14:41:14.789Z</dcterms:modified>
</cp:coreProperties>
</file>

<file path=docProps/custom.xml><?xml version="1.0" encoding="utf-8"?>
<Properties xmlns="http://schemas.openxmlformats.org/officeDocument/2006/custom-properties" xmlns:vt="http://schemas.openxmlformats.org/officeDocument/2006/docPropsVTypes"/>
</file>