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AthletIA-Entrenamiento y Nutrición Inteligente.(lema)</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virtual por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13 de septiembre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Gonzalo Monreal</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Bruno Moreno</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Gabriel Verdejo</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Gonzalo Monreal</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Moreno</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Gabriel Verdejo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logró crear y configurar correctamente la base de datos del proyecto.</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completó el modelamiento y normalización de las tablas de acuerdo a los requerimientos del sistema.</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avanzó en la conexión entre la base de datos y el sitio web, permitiendo pruebas iniciales exitosas.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Durante la configuración de la base de datos surgieron algunos problemas de compatibilidad con las herramientas seleccionadas.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tiempo de testing de las APIs fue mayor al estimado, lo que retrasó parcialmente la selección definitiva.</w:t>
            </w:r>
          </w:p>
        </w:tc>
        <w:tc>
          <w:tcPr>
            <w:vAlign w:val="top"/>
          </w:tcPr>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Investigar previamente la compatibilidad entre las herramientas de base de datos y los frameworks utilizados para optimizar el desarrollo.</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9">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A">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DYj83i0LO88G0SLbOZ2QDdVDSg==">CgMxLjA4AHIhMWNDOWtrX05IZlEtZnNuU1dHQUwxakw2NlJMX0IyaGxi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