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36"/>
        </w:rPr>
        <w:t>Capital Projects Lifecycle Planner</w:t>
      </w:r>
    </w:p>
    <w:p>
      <w:pPr>
        <w:jc w:val="center"/>
      </w:pPr>
      <w:r>
        <w:rPr>
          <w:i/>
          <w:color w:val="666666"/>
          <w:sz w:val="20"/>
        </w:rPr>
        <w:t>One-Page Executive Summary</w:t>
      </w:r>
    </w:p>
    <w:p>
      <w:pPr>
        <w:pStyle w:val="Heading2"/>
      </w:pPr>
      <w:r>
        <w:rPr>
          <w:color w:val="003366"/>
          <w:sz w:val="22"/>
        </w:rPr>
        <w:t>What It Is</w:t>
      </w:r>
    </w:p>
    <w:p>
      <w:r>
        <w:rPr>
          <w:sz w:val="18"/>
        </w:rPr>
        <w:t>An AI-powered capital project portfolio management platform that transforms infrastructure delivery through automated health monitoring, predictive analytics, and strategic optimization for government agencies and engineering consultants.</w:t>
      </w:r>
    </w:p>
    <w:p>
      <w:pPr>
        <w:pStyle w:val="Heading2"/>
      </w:pPr>
      <w:r>
        <w:rPr>
          <w:color w:val="003366"/>
          <w:sz w:val="22"/>
        </w:rPr>
        <w:t>The Problem</w:t>
      </w:r>
    </w:p>
    <w:p>
      <w:r>
        <w:rPr>
          <w:b/>
          <w:sz w:val="18"/>
        </w:rPr>
        <w:t>Government agencies waste billions on preventable capital project cost overruns and delays.</w:t>
      </w:r>
    </w:p>
    <w:p>
      <w:pPr>
        <w:pStyle w:val="ListBullet"/>
      </w:pPr>
      <w:r>
        <w:rPr>
          <w:sz w:val="16"/>
        </w:rPr>
        <w:t>Public works directors manage 50-200+ projects with no unified portfolio health view</w:t>
      </w:r>
    </w:p>
    <w:p>
      <w:pPr>
        <w:pStyle w:val="ListBullet"/>
      </w:pPr>
      <w:r>
        <w:rPr>
          <w:sz w:val="16"/>
        </w:rPr>
        <w:t>Average 25-40% cost overruns on poorly managed infrastructure projects</w:t>
      </w:r>
    </w:p>
    <w:p>
      <w:pPr>
        <w:pStyle w:val="ListBullet"/>
      </w:pPr>
      <w:r>
        <w:rPr>
          <w:sz w:val="16"/>
        </w:rPr>
        <w:t>$100K-1M+ lost per project on preventable delays (ROW, utilities, permitting)</w:t>
      </w:r>
    </w:p>
    <w:p>
      <w:pPr>
        <w:pStyle w:val="ListBullet"/>
      </w:pPr>
      <w:r>
        <w:rPr>
          <w:sz w:val="16"/>
        </w:rPr>
        <w:t>20-40 hours/month wasted manually compiling portfolio status reports</w:t>
      </w:r>
    </w:p>
    <w:p>
      <w:pPr>
        <w:pStyle w:val="ListBullet"/>
      </w:pPr>
      <w:r>
        <w:rPr>
          <w:sz w:val="16"/>
        </w:rPr>
        <w:t>Critical projects slip, grant funding lost due to missed milestones</w:t>
      </w:r>
    </w:p>
    <w:p>
      <w:pPr>
        <w:pStyle w:val="ListBullet"/>
      </w:pPr>
      <w:r>
        <w:rPr>
          <w:sz w:val="16"/>
        </w:rPr>
        <w:t>Project prioritization driven by politics instead of data</w:t>
      </w:r>
    </w:p>
    <w:p>
      <w:pPr>
        <w:pStyle w:val="Heading2"/>
      </w:pPr>
      <w:r>
        <w:rPr>
          <w:color w:val="003366"/>
          <w:sz w:val="22"/>
        </w:rPr>
        <w:t>The Solution</w:t>
      </w:r>
    </w:p>
    <w:p>
      <w:pPr>
        <w:jc w:val="center"/>
      </w:pPr>
      <w:r>
        <w:rPr>
          <w:b/>
          <w:color w:val="0066CC"/>
          <w:sz w:val="18"/>
        </w:rPr>
        <w:t>UPLOAD → SCORE → MONITOR → OPTIMIZE</w:t>
      </w:r>
    </w:p>
    <w:p>
      <w:r>
        <w:rPr>
          <w:b/>
          <w:sz w:val="18"/>
        </w:rPr>
        <w:t>Key Capabilities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4"/>
              </w:rPr>
              <w:t>Feature</w:t>
            </w:r>
          </w:p>
        </w:tc>
        <w:tc>
          <w:tcPr>
            <w:tcW w:type="dxa" w:w="5040"/>
          </w:tcPr>
          <w:p>
            <w:r>
              <w:rPr>
                <w:b/>
                <w:sz w:val="14"/>
              </w:rPr>
              <w:t>Benefit</w:t>
            </w:r>
          </w:p>
        </w:tc>
      </w:tr>
      <w:tr>
        <w:tc>
          <w:tcPr>
            <w:tcW w:type="dxa" w:w="5040"/>
          </w:tcPr>
          <w:p>
            <w:r>
              <w:rPr>
                <w:sz w:val="14"/>
              </w:rPr>
              <w:t>Automated Health Scoring</w:t>
            </w:r>
          </w:p>
        </w:tc>
        <w:tc>
          <w:tcPr>
            <w:tcW w:type="dxa" w:w="5040"/>
          </w:tcPr>
          <w:p>
            <w:r>
              <w:rPr>
                <w:sz w:val="14"/>
              </w:rPr>
              <w:t>Real-time scores (1-100) across 8 dimensions</w:t>
            </w:r>
          </w:p>
        </w:tc>
      </w:tr>
      <w:tr>
        <w:tc>
          <w:tcPr>
            <w:tcW w:type="dxa" w:w="5040"/>
          </w:tcPr>
          <w:p>
            <w:r>
              <w:rPr>
                <w:sz w:val="14"/>
              </w:rPr>
              <w:t>Predictive Analytics</w:t>
            </w:r>
          </w:p>
        </w:tc>
        <w:tc>
          <w:tcPr>
            <w:tcW w:type="dxa" w:w="5040"/>
          </w:tcPr>
          <w:p>
            <w:r>
              <w:rPr>
                <w:sz w:val="14"/>
              </w:rPr>
              <w:t>Identify problems 3-6 months before they occur</w:t>
            </w:r>
          </w:p>
        </w:tc>
      </w:tr>
      <w:tr>
        <w:tc>
          <w:tcPr>
            <w:tcW w:type="dxa" w:w="5040"/>
          </w:tcPr>
          <w:p>
            <w:r>
              <w:rPr>
                <w:sz w:val="14"/>
              </w:rPr>
              <w:t>ADVANCE Framework</w:t>
            </w:r>
          </w:p>
        </w:tc>
        <w:tc>
          <w:tcPr>
            <w:tcW w:type="dxa" w:w="5040"/>
          </w:tcPr>
          <w:p>
            <w:r>
              <w:rPr>
                <w:sz w:val="14"/>
              </w:rPr>
              <w:t>Categorize: Advance/Monitor/Re-scope/Defer/Cancel</w:t>
            </w:r>
          </w:p>
        </w:tc>
      </w:tr>
      <w:tr>
        <w:tc>
          <w:tcPr>
            <w:tcW w:type="dxa" w:w="5040"/>
          </w:tcPr>
          <w:p>
            <w:r>
              <w:rPr>
                <w:sz w:val="14"/>
              </w:rPr>
              <w:t>Risk Intelligence</w:t>
            </w:r>
          </w:p>
        </w:tc>
        <w:tc>
          <w:tcPr>
            <w:tcW w:type="dxa" w:w="5040"/>
          </w:tcPr>
          <w:p>
            <w:r>
              <w:rPr>
                <w:sz w:val="14"/>
              </w:rPr>
              <w:t>Track ROW, utility, permitting, contractor risks</w:t>
            </w:r>
          </w:p>
        </w:tc>
      </w:tr>
      <w:tr>
        <w:tc>
          <w:tcPr>
            <w:tcW w:type="dxa" w:w="5040"/>
          </w:tcPr>
          <w:p>
            <w:r>
              <w:rPr>
                <w:sz w:val="14"/>
              </w:rPr>
              <w:t>Grant Compliance</w:t>
            </w:r>
          </w:p>
        </w:tc>
        <w:tc>
          <w:tcPr>
            <w:tcW w:type="dxa" w:w="5040"/>
          </w:tcPr>
          <w:p>
            <w:r>
              <w:rPr>
                <w:sz w:val="14"/>
              </w:rPr>
              <w:t>Milestone tracking prevents funding loss</w:t>
            </w:r>
          </w:p>
        </w:tc>
      </w:tr>
      <w:tr>
        <w:tc>
          <w:tcPr>
            <w:tcW w:type="dxa" w:w="5040"/>
          </w:tcPr>
          <w:p>
            <w:r>
              <w:rPr>
                <w:sz w:val="14"/>
              </w:rPr>
              <w:t>AI Assistant</w:t>
            </w:r>
          </w:p>
        </w:tc>
        <w:tc>
          <w:tcPr>
            <w:tcW w:type="dxa" w:w="5040"/>
          </w:tcPr>
          <w:p>
            <w:r>
              <w:rPr>
                <w:sz w:val="14"/>
              </w:rPr>
              <w:t>Natural language Q&amp;A for portfolio insights</w:t>
            </w:r>
          </w:p>
        </w:tc>
      </w:tr>
      <w:tr>
        <w:tc>
          <w:tcPr>
            <w:tcW w:type="dxa" w:w="5040"/>
          </w:tcPr>
          <w:p>
            <w:r>
              <w:rPr>
                <w:sz w:val="14"/>
              </w:rPr>
              <w:t>What-If Modeling</w:t>
            </w:r>
          </w:p>
        </w:tc>
        <w:tc>
          <w:tcPr>
            <w:tcW w:type="dxa" w:w="5040"/>
          </w:tcPr>
          <w:p>
            <w:r>
              <w:rPr>
                <w:sz w:val="14"/>
              </w:rPr>
              <w:t>Scenario planning for budget changes</w:t>
            </w:r>
          </w:p>
        </w:tc>
      </w:tr>
      <w:tr>
        <w:tc>
          <w:tcPr>
            <w:tcW w:type="dxa" w:w="5040"/>
          </w:tcPr>
          <w:p>
            <w:r>
              <w:rPr>
                <w:sz w:val="14"/>
              </w:rPr>
              <w:t>Commission-Ready Reports</w:t>
            </w:r>
          </w:p>
        </w:tc>
        <w:tc>
          <w:tcPr>
            <w:tcW w:type="dxa" w:w="5040"/>
          </w:tcPr>
          <w:p>
            <w:r>
              <w:rPr>
                <w:sz w:val="14"/>
              </w:rPr>
              <w:t>PDF/PowerPoint for executive briefings</w:t>
            </w:r>
          </w:p>
        </w:tc>
      </w:tr>
    </w:tbl>
    <w:p>
      <w:pPr>
        <w:pStyle w:val="Heading2"/>
      </w:pPr>
      <w:r>
        <w:rPr>
          <w:color w:val="003366"/>
          <w:sz w:val="22"/>
        </w:rPr>
        <w:t>The Outcome</w:t>
      </w:r>
    </w:p>
    <w:p>
      <w:pPr>
        <w:pStyle w:val="ListBullet"/>
      </w:pPr>
      <w:r>
        <w:rPr>
          <w:sz w:val="16"/>
        </w:rPr>
        <w:t>40-60% reduction in preventable cost overruns</w:t>
      </w:r>
    </w:p>
    <w:p>
      <w:pPr>
        <w:pStyle w:val="ListBullet"/>
      </w:pPr>
      <w:r>
        <w:rPr>
          <w:sz w:val="16"/>
        </w:rPr>
        <w:t>80% time savings on portfolio reporting</w:t>
      </w:r>
    </w:p>
    <w:p>
      <w:pPr>
        <w:pStyle w:val="ListBullet"/>
      </w:pPr>
      <w:r>
        <w:rPr>
          <w:sz w:val="16"/>
        </w:rPr>
        <w:t>25-35% improvement in on-time delivery</w:t>
      </w:r>
    </w:p>
    <w:p>
      <w:pPr>
        <w:pStyle w:val="ListBullet"/>
      </w:pPr>
      <w:r>
        <w:rPr>
          <w:sz w:val="16"/>
        </w:rPr>
        <w:t>95%+ grant milestone achievement</w:t>
      </w:r>
    </w:p>
    <w:p>
      <w:pPr>
        <w:pStyle w:val="ListBullet"/>
      </w:pPr>
      <w:r>
        <w:rPr>
          <w:sz w:val="16"/>
        </w:rPr>
        <w:t>15-25% better resource allocation</w:t>
      </w:r>
    </w:p>
    <w:p>
      <w:r>
        <w:rPr>
          <w:b/>
          <w:sz w:val="16"/>
        </w:rPr>
        <w:t xml:space="preserve">Sample ROI: </w:t>
      </w:r>
      <w:r>
        <w:rPr>
          <w:sz w:val="16"/>
        </w:rPr>
        <w:t>100 Projects | $250M Budget → $6.5M annual value | Investment: $75K-150K | ROI: 44-87x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03366"/>
                <w:sz w:val="18"/>
              </w:rPr>
              <w:t>Who It's For</w:t>
            </w:r>
          </w:p>
          <w:p>
            <w:r>
              <w:rPr>
                <w:b/>
                <w:sz w:val="16"/>
              </w:rPr>
              <w:t>Government Agencies:</w:t>
            </w:r>
          </w:p>
          <w:p>
            <w:pPr>
              <w:pStyle w:val="ListBullet"/>
            </w:pPr>
            <w:r>
              <w:rPr>
                <w:sz w:val="14"/>
              </w:rPr>
              <w:t>County/City Public Works</w:t>
            </w:r>
          </w:p>
          <w:p>
            <w:pPr>
              <w:pStyle w:val="ListBullet"/>
            </w:pPr>
            <w:r>
              <w:rPr>
                <w:sz w:val="14"/>
              </w:rPr>
              <w:t>State DOTs</w:t>
            </w:r>
          </w:p>
          <w:p>
            <w:pPr>
              <w:pStyle w:val="ListBullet"/>
            </w:pPr>
            <w:r>
              <w:rPr>
                <w:sz w:val="14"/>
              </w:rPr>
              <w:t>Transit/Transportation agencies</w:t>
            </w:r>
          </w:p>
          <w:p>
            <w:pPr>
              <w:pStyle w:val="ListBullet"/>
            </w:pPr>
            <w:r>
              <w:rPr>
                <w:sz w:val="14"/>
              </w:rPr>
              <w:t>Water/Wastewater utilities</w:t>
            </w:r>
          </w:p>
          <w:p>
            <w:pPr>
              <w:pStyle w:val="ListBullet"/>
            </w:pPr>
            <w:r>
              <w:rPr>
                <w:sz w:val="14"/>
              </w:rPr>
              <w:t>Ports, airports, special districts</w:t>
            </w:r>
          </w:p>
          <w:p>
            <w:r>
              <w:rPr>
                <w:b/>
                <w:sz w:val="16"/>
              </w:rPr>
              <w:t>Consulting Groups:</w:t>
            </w:r>
          </w:p>
          <w:p>
            <w:pPr>
              <w:pStyle w:val="ListBullet"/>
            </w:pPr>
            <w:r>
              <w:rPr>
                <w:sz w:val="14"/>
              </w:rPr>
              <w:t>Civil engineering firms</w:t>
            </w:r>
          </w:p>
          <w:p>
            <w:pPr>
              <w:pStyle w:val="ListBullet"/>
            </w:pPr>
            <w:r>
              <w:rPr>
                <w:sz w:val="14"/>
              </w:rPr>
              <w:t>Program management consultants</w:t>
            </w:r>
          </w:p>
          <w:p>
            <w:pPr>
              <w:pStyle w:val="ListBullet"/>
            </w:pPr>
            <w:r>
              <w:rPr>
                <w:sz w:val="14"/>
              </w:rPr>
              <w:t>Grant compliance consultants</w:t>
            </w:r>
          </w:p>
          <w:p>
            <w:pPr>
              <w:pStyle w:val="ListBullet"/>
            </w:pPr>
            <w:r>
              <w:rPr>
                <w:sz w:val="14"/>
              </w:rPr>
              <w:t>Municipal advisors</w:t>
            </w:r>
          </w:p>
        </w:tc>
        <w:tc>
          <w:tcPr>
            <w:tcW w:type="dxa" w:w="5040"/>
          </w:tcPr>
          <w:p>
            <w:r>
              <w:rPr>
                <w:b/>
                <w:color w:val="003366"/>
                <w:sz w:val="18"/>
              </w:rPr>
              <w:t>What Makes It Different</w:t>
            </w:r>
          </w:p>
          <w:p>
            <w:r>
              <w:rPr>
                <w:b/>
                <w:sz w:val="14"/>
              </w:rPr>
              <w:t xml:space="preserve">vs. Spreadsheets: </w:t>
            </w:r>
            <w:r>
              <w:rPr>
                <w:sz w:val="14"/>
              </w:rPr>
              <w:t>Automated, predictive, real-time</w:t>
            </w:r>
          </w:p>
          <w:p>
            <w:r>
              <w:rPr>
                <w:b/>
                <w:sz w:val="14"/>
              </w:rPr>
              <w:t xml:space="preserve">vs. Enterprise PM Tools: </w:t>
            </w:r>
            <w:r>
              <w:rPr>
                <w:sz w:val="14"/>
              </w:rPr>
              <w:t>Portfolio intelligence, AI-powered, days to deploy, affordable</w:t>
            </w:r>
          </w:p>
          <w:p>
            <w:r>
              <w:rPr>
                <w:b/>
                <w:sz w:val="14"/>
              </w:rPr>
              <w:t xml:space="preserve">vs. ERP Systems: </w:t>
            </w:r>
            <w:r>
              <w:rPr>
                <w:sz w:val="14"/>
              </w:rPr>
              <w:t>Delivery-focused, predictive, actionable</w:t>
            </w:r>
          </w:p>
          <w:p>
            <w:r>
              <w:rPr>
                <w:b/>
                <w:sz w:val="14"/>
              </w:rPr>
              <w:t>Unique Strengths:</w:t>
            </w:r>
          </w:p>
          <w:p>
            <w:pPr>
              <w:pStyle w:val="ListBullet"/>
            </w:pPr>
            <w:r>
              <w:rPr>
                <w:sz w:val="14"/>
              </w:rPr>
              <w:t>Government infrastructure expertise</w:t>
            </w:r>
          </w:p>
          <w:p>
            <w:pPr>
              <w:pStyle w:val="ListBullet"/>
            </w:pPr>
            <w:r>
              <w:rPr>
                <w:sz w:val="14"/>
              </w:rPr>
              <w:t>Predictive early warning (3-6 mo)</w:t>
            </w:r>
          </w:p>
          <w:p>
            <w:pPr>
              <w:pStyle w:val="ListBullet"/>
            </w:pPr>
            <w:r>
              <w:rPr>
                <w:sz w:val="14"/>
              </w:rPr>
              <w:t>ROW &amp; utility risk intelligence</w:t>
            </w:r>
          </w:p>
          <w:p>
            <w:pPr>
              <w:pStyle w:val="ListBullet"/>
            </w:pPr>
            <w:r>
              <w:rPr>
                <w:sz w:val="14"/>
              </w:rPr>
              <w:t>Grant compliance built-in</w:t>
            </w:r>
          </w:p>
          <w:p>
            <w:pPr>
              <w:pStyle w:val="ListBullet"/>
            </w:pPr>
            <w:r>
              <w:rPr>
                <w:sz w:val="14"/>
              </w:rPr>
              <w:t>Commission/council ready reports</w:t>
            </w:r>
          </w:p>
          <w:p>
            <w:pPr>
              <w:pStyle w:val="ListBullet"/>
            </w:pPr>
            <w:r>
              <w:rPr>
                <w:sz w:val="14"/>
              </w:rPr>
              <w:t>White-label for consultants</w:t>
            </w:r>
          </w:p>
        </w:tc>
      </w:tr>
    </w:tbl>
    <w:p>
      <w:pPr>
        <w:pStyle w:val="Heading2"/>
      </w:pPr>
      <w:r>
        <w:rPr>
          <w:color w:val="003366"/>
          <w:sz w:val="22"/>
        </w:rPr>
        <w:t>Proven Use Cases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4"/>
              </w:rPr>
              <w:t>Scenario</w:t>
            </w:r>
          </w:p>
        </w:tc>
        <w:tc>
          <w:tcPr>
            <w:tcW w:type="dxa" w:w="2520"/>
          </w:tcPr>
          <w:p>
            <w:r>
              <w:rPr>
                <w:b/>
                <w:sz w:val="14"/>
              </w:rPr>
              <w:t>Challenge</w:t>
            </w:r>
          </w:p>
        </w:tc>
        <w:tc>
          <w:tcPr>
            <w:tcW w:type="dxa" w:w="2520"/>
          </w:tcPr>
          <w:p>
            <w:r>
              <w:rPr>
                <w:b/>
                <w:sz w:val="14"/>
              </w:rPr>
              <w:t>Solution</w:t>
            </w:r>
          </w:p>
        </w:tc>
        <w:tc>
          <w:tcPr>
            <w:tcW w:type="dxa" w:w="2520"/>
          </w:tcPr>
          <w:p>
            <w:r>
              <w:rPr>
                <w:b/>
                <w:sz w:val="14"/>
              </w:rPr>
              <w:t>Result</w:t>
            </w:r>
          </w:p>
        </w:tc>
      </w:tr>
      <w:tr>
        <w:tc>
          <w:tcPr>
            <w:tcW w:type="dxa" w:w="2520"/>
          </w:tcPr>
          <w:p>
            <w:r>
              <w:rPr>
                <w:sz w:val="14"/>
              </w:rPr>
              <w:t>Grant Protection</w:t>
            </w:r>
          </w:p>
        </w:tc>
        <w:tc>
          <w:tcPr>
            <w:tcW w:type="dxa" w:w="2520"/>
          </w:tcPr>
          <w:p>
            <w:r>
              <w:rPr>
                <w:sz w:val="14"/>
              </w:rPr>
              <w:t>$15M milestone in 90 days</w:t>
            </w:r>
          </w:p>
        </w:tc>
        <w:tc>
          <w:tcPr>
            <w:tcW w:type="dxa" w:w="2520"/>
          </w:tcPr>
          <w:p>
            <w:r>
              <w:rPr>
                <w:sz w:val="14"/>
              </w:rPr>
              <w:t>Early warning 4 mo out</w:t>
            </w:r>
          </w:p>
        </w:tc>
        <w:tc>
          <w:tcPr>
            <w:tcW w:type="dxa" w:w="2520"/>
          </w:tcPr>
          <w:p>
            <w:r>
              <w:rPr>
                <w:sz w:val="14"/>
              </w:rPr>
              <w:t>$15M saved</w:t>
            </w:r>
          </w:p>
        </w:tc>
      </w:tr>
      <w:tr>
        <w:tc>
          <w:tcPr>
            <w:tcW w:type="dxa" w:w="2520"/>
          </w:tcPr>
          <w:p>
            <w:r>
              <w:rPr>
                <w:sz w:val="14"/>
              </w:rPr>
              <w:t>Budget Cut</w:t>
            </w:r>
          </w:p>
        </w:tc>
        <w:tc>
          <w:tcPr>
            <w:tcW w:type="dxa" w:w="2520"/>
          </w:tcPr>
          <w:p>
            <w:r>
              <w:rPr>
                <w:sz w:val="14"/>
              </w:rPr>
              <w:t>Cut $10M from 45 projects</w:t>
            </w:r>
          </w:p>
        </w:tc>
        <w:tc>
          <w:tcPr>
            <w:tcW w:type="dxa" w:w="2520"/>
          </w:tcPr>
          <w:p>
            <w:r>
              <w:rPr>
                <w:sz w:val="14"/>
              </w:rPr>
              <w:t>Scenario analysis</w:t>
            </w:r>
          </w:p>
        </w:tc>
        <w:tc>
          <w:tcPr>
            <w:tcW w:type="dxa" w:w="2520"/>
          </w:tcPr>
          <w:p>
            <w:r>
              <w:rPr>
                <w:sz w:val="14"/>
              </w:rPr>
              <w:t>Protected 37 projects</w:t>
            </w:r>
          </w:p>
        </w:tc>
      </w:tr>
      <w:tr>
        <w:tc>
          <w:tcPr>
            <w:tcW w:type="dxa" w:w="2520"/>
          </w:tcPr>
          <w:p>
            <w:r>
              <w:rPr>
                <w:sz w:val="14"/>
              </w:rPr>
              <w:t>New Director</w:t>
            </w:r>
          </w:p>
        </w:tc>
        <w:tc>
          <w:tcPr>
            <w:tcW w:type="dxa" w:w="2520"/>
          </w:tcPr>
          <w:p>
            <w:r>
              <w:rPr>
                <w:sz w:val="14"/>
              </w:rPr>
              <w:t>80 projects, no overview</w:t>
            </w:r>
          </w:p>
        </w:tc>
        <w:tc>
          <w:tcPr>
            <w:tcW w:type="dxa" w:w="2520"/>
          </w:tcPr>
          <w:p>
            <w:r>
              <w:rPr>
                <w:sz w:val="14"/>
              </w:rPr>
              <w:t>Import in 2 days</w:t>
            </w:r>
          </w:p>
        </w:tc>
        <w:tc>
          <w:tcPr>
            <w:tcW w:type="dxa" w:w="2520"/>
          </w:tcPr>
          <w:p>
            <w:r>
              <w:rPr>
                <w:sz w:val="14"/>
              </w:rPr>
              <w:t>Found 12 high-risk</w:t>
            </w:r>
          </w:p>
        </w:tc>
      </w:tr>
      <w:tr>
        <w:tc>
          <w:tcPr>
            <w:tcW w:type="dxa" w:w="2520"/>
          </w:tcPr>
          <w:p>
            <w:r>
              <w:rPr>
                <w:sz w:val="14"/>
              </w:rPr>
              <w:t>Consultant Win</w:t>
            </w:r>
          </w:p>
        </w:tc>
        <w:tc>
          <w:tcPr>
            <w:tcW w:type="dxa" w:w="2520"/>
          </w:tcPr>
          <w:p>
            <w:r>
              <w:rPr>
                <w:sz w:val="14"/>
              </w:rPr>
              <w:t>$5M PM contract</w:t>
            </w:r>
          </w:p>
        </w:tc>
        <w:tc>
          <w:tcPr>
            <w:tcW w:type="dxa" w:w="2520"/>
          </w:tcPr>
          <w:p>
            <w:r>
              <w:rPr>
                <w:sz w:val="14"/>
              </w:rPr>
              <w:t>Demoed AI platform</w:t>
            </w:r>
          </w:p>
        </w:tc>
        <w:tc>
          <w:tcPr>
            <w:tcW w:type="dxa" w:w="2520"/>
          </w:tcPr>
          <w:p>
            <w:r>
              <w:rPr>
                <w:sz w:val="14"/>
              </w:rPr>
              <w:t>Won vs. larger firms</w:t>
            </w:r>
          </w:p>
        </w:tc>
      </w:tr>
      <w:tr>
        <w:tc>
          <w:tcPr>
            <w:tcW w:type="dxa" w:w="2520"/>
          </w:tcPr>
          <w:p>
            <w:r>
              <w:rPr>
                <w:sz w:val="14"/>
              </w:rPr>
              <w:t>Overrun Prevention</w:t>
            </w:r>
          </w:p>
        </w:tc>
        <w:tc>
          <w:tcPr>
            <w:tcW w:type="dxa" w:w="2520"/>
          </w:tcPr>
          <w:p>
            <w:r>
              <w:rPr>
                <w:sz w:val="14"/>
              </w:rPr>
              <w:t>15% burn rate variance</w:t>
            </w:r>
          </w:p>
        </w:tc>
        <w:tc>
          <w:tcPr>
            <w:tcW w:type="dxa" w:w="2520"/>
          </w:tcPr>
          <w:p>
            <w:r>
              <w:rPr>
                <w:sz w:val="14"/>
              </w:rPr>
              <w:t>Platform alert</w:t>
            </w:r>
          </w:p>
        </w:tc>
        <w:tc>
          <w:tcPr>
            <w:tcW w:type="dxa" w:w="2520"/>
          </w:tcPr>
          <w:p>
            <w:r>
              <w:rPr>
                <w:sz w:val="14"/>
              </w:rPr>
              <w:t>Avoided $1.2M overrun</w:t>
            </w:r>
          </w:p>
        </w:tc>
      </w:tr>
    </w:tbl>
    <w:p>
      <w:pPr>
        <w:pStyle w:val="Heading2"/>
      </w:pPr>
      <w:r>
        <w:rPr>
          <w:color w:val="003366"/>
          <w:sz w:val="22"/>
        </w:rPr>
        <w:t>The Bottom Line</w:t>
      </w:r>
    </w:p>
    <w:p>
      <w:r>
        <w:rPr>
          <w:b/>
          <w:sz w:val="18"/>
        </w:rPr>
        <w:t>Transform capital project delivery from reactive chaos to predictive intelligence.</w:t>
      </w:r>
    </w:p>
    <w:p>
      <w:r>
        <w:rPr>
          <w:sz w:val="16"/>
        </w:rPr>
        <w:t>Government agencies can't afford to keep losing millions on preventable project failures. This platform provides the visibility, early warning, and strategic optimization needed to deliver infrastructure on-time, on-budget, and with confidence.</w:t>
      </w:r>
    </w:p>
    <w:p>
      <w:r>
        <w:rPr>
          <w:b/>
          <w:sz w:val="16"/>
        </w:rPr>
        <w:t xml:space="preserve">Pricing: </w:t>
      </w:r>
      <w:r>
        <w:rPr>
          <w:sz w:val="16"/>
        </w:rPr>
        <w:t>Government SaaS: $30K-200K/yr (based on project count) | Consulting: $5K-10K/consultant/yr</w:t>
      </w:r>
    </w:p>
    <w:p>
      <w:pPr>
        <w:jc w:val="center"/>
      </w:pPr>
      <w:r>
        <w:rPr>
          <w:i/>
          <w:color w:val="003366"/>
          <w:sz w:val="18"/>
        </w:rPr>
        <w:t>"See everything. Predict problems. Optimize outcomes. Transform infrastructure delivery."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