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36"/>
        </w:rPr>
        <w:t>Contract Oversight System</w:t>
      </w:r>
    </w:p>
    <w:p>
      <w:pPr>
        <w:jc w:val="center"/>
      </w:pPr>
      <w:r>
        <w:rPr>
          <w:i/>
          <w:color w:val="666666"/>
          <w:sz w:val="20"/>
        </w:rPr>
        <w:t>One-Page Executive Summary</w:t>
      </w:r>
    </w:p>
    <w:p>
      <w:pPr>
        <w:pStyle w:val="Heading2"/>
      </w:pPr>
      <w:r>
        <w:rPr>
          <w:color w:val="003366"/>
          <w:sz w:val="22"/>
        </w:rPr>
        <w:t>What It Is</w:t>
      </w:r>
    </w:p>
    <w:p>
      <w:r>
        <w:rPr>
          <w:sz w:val="18"/>
        </w:rPr>
        <w:t>An intelligent contract lifecycle management platform that automates compliance monitoring, tracks vendor performance, and provides predictive risk intelligence to maximize contract value and prevent failures across government and enterprise contract portfolios.</w:t>
      </w:r>
    </w:p>
    <w:p>
      <w:pPr>
        <w:pStyle w:val="Heading2"/>
      </w:pPr>
      <w:r>
        <w:rPr>
          <w:color w:val="003366"/>
          <w:sz w:val="22"/>
        </w:rPr>
        <w:t>The Problem</w:t>
      </w:r>
    </w:p>
    <w:p>
      <w:r>
        <w:rPr>
          <w:b/>
          <w:sz w:val="18"/>
        </w:rPr>
        <w:t>Organizations waste billions on contract mismanagement, compliance violations, and vendor underperformance.</w:t>
      </w:r>
    </w:p>
    <w:p>
      <w:pPr>
        <w:pStyle w:val="ListBullet"/>
      </w:pPr>
      <w:r>
        <w:rPr>
          <w:sz w:val="16"/>
        </w:rPr>
        <w:t>Manage 200-5,000+ contracts with no unified compliance/performance view</w:t>
      </w:r>
    </w:p>
    <w:p>
      <w:pPr>
        <w:pStyle w:val="ListBullet"/>
      </w:pPr>
      <w:r>
        <w:rPr>
          <w:sz w:val="16"/>
        </w:rPr>
        <w:t>$50K-500K+ lost per compliance violation</w:t>
      </w:r>
    </w:p>
    <w:p>
      <w:pPr>
        <w:pStyle w:val="ListBullet"/>
      </w:pPr>
      <w:r>
        <w:rPr>
          <w:sz w:val="16"/>
        </w:rPr>
        <w:t>40-60% of contract manager time wasted on manual admin</w:t>
      </w:r>
    </w:p>
    <w:p>
      <w:pPr>
        <w:pStyle w:val="ListBullet"/>
      </w:pPr>
      <w:r>
        <w:rPr>
          <w:sz w:val="16"/>
        </w:rPr>
        <w:t>Missed renewals cost $100K-1M+ in unfavorable terms</w:t>
      </w:r>
    </w:p>
    <w:p>
      <w:pPr>
        <w:pStyle w:val="ListBullet"/>
      </w:pPr>
      <w:r>
        <w:rPr>
          <w:sz w:val="16"/>
        </w:rPr>
        <w:t>Vendor performance issues discovered after failures</w:t>
      </w:r>
    </w:p>
    <w:p>
      <w:pPr>
        <w:pStyle w:val="ListBullet"/>
      </w:pPr>
      <w:r>
        <w:rPr>
          <w:sz w:val="16"/>
        </w:rPr>
        <w:t>Contract data scattered - no portfolio analytics</w:t>
      </w:r>
    </w:p>
    <w:p>
      <w:pPr>
        <w:pStyle w:val="Heading2"/>
      </w:pPr>
      <w:r>
        <w:rPr>
          <w:color w:val="003366"/>
          <w:sz w:val="22"/>
        </w:rPr>
        <w:t>The Solution</w:t>
      </w:r>
    </w:p>
    <w:p>
      <w:pPr>
        <w:jc w:val="center"/>
      </w:pPr>
      <w:r>
        <w:rPr>
          <w:b/>
          <w:color w:val="0066CC"/>
          <w:sz w:val="18"/>
        </w:rPr>
        <w:t>IMPORT → MONITOR → ANALYZE → OPTIMIZE</w:t>
      </w:r>
    </w:p>
    <w:p>
      <w:r>
        <w:rPr>
          <w:b/>
          <w:sz w:val="18"/>
        </w:rPr>
        <w:t>Key Capabilities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4"/>
              </w:rPr>
              <w:t>Feature</w:t>
            </w:r>
          </w:p>
        </w:tc>
        <w:tc>
          <w:tcPr>
            <w:tcW w:type="dxa" w:w="5040"/>
          </w:tcPr>
          <w:p>
            <w:r>
              <w:rPr>
                <w:b/>
                <w:sz w:val="14"/>
              </w:rPr>
              <w:t>Benefit</w:t>
            </w:r>
          </w:p>
        </w:tc>
      </w:tr>
      <w:tr>
        <w:tc>
          <w:tcPr>
            <w:tcW w:type="dxa" w:w="5040"/>
          </w:tcPr>
          <w:p>
            <w:r>
              <w:rPr>
                <w:sz w:val="14"/>
              </w:rPr>
              <w:t>Automated Compliance</w:t>
            </w:r>
          </w:p>
        </w:tc>
        <w:tc>
          <w:tcPr>
            <w:tcW w:type="dxa" w:w="5040"/>
          </w:tcPr>
          <w:p>
            <w:r>
              <w:rPr>
                <w:sz w:val="14"/>
              </w:rPr>
              <w:t>Track insurance, licenses, deliverables with alerts</w:t>
            </w:r>
          </w:p>
        </w:tc>
      </w:tr>
      <w:tr>
        <w:tc>
          <w:tcPr>
            <w:tcW w:type="dxa" w:w="5040"/>
          </w:tcPr>
          <w:p>
            <w:r>
              <w:rPr>
                <w:sz w:val="14"/>
              </w:rPr>
              <w:t>Vendor Performance</w:t>
            </w:r>
          </w:p>
        </w:tc>
        <w:tc>
          <w:tcPr>
            <w:tcW w:type="dxa" w:w="5040"/>
          </w:tcPr>
          <w:p>
            <w:r>
              <w:rPr>
                <w:sz w:val="14"/>
              </w:rPr>
              <w:t>Systematic scoring, benchmarking, historical tracking</w:t>
            </w:r>
          </w:p>
        </w:tc>
      </w:tr>
      <w:tr>
        <w:tc>
          <w:tcPr>
            <w:tcW w:type="dxa" w:w="5040"/>
          </w:tcPr>
          <w:p>
            <w:r>
              <w:rPr>
                <w:sz w:val="14"/>
              </w:rPr>
              <w:t>Risk Intelligence</w:t>
            </w:r>
          </w:p>
        </w:tc>
        <w:tc>
          <w:tcPr>
            <w:tcW w:type="dxa" w:w="5040"/>
          </w:tcPr>
          <w:p>
            <w:r>
              <w:rPr>
                <w:sz w:val="14"/>
              </w:rPr>
              <w:t>AI predicts failures 3-6 months ahead</w:t>
            </w:r>
          </w:p>
        </w:tc>
      </w:tr>
      <w:tr>
        <w:tc>
          <w:tcPr>
            <w:tcW w:type="dxa" w:w="5040"/>
          </w:tcPr>
          <w:p>
            <w:r>
              <w:rPr>
                <w:sz w:val="14"/>
              </w:rPr>
              <w:t>Spend Analytics</w:t>
            </w:r>
          </w:p>
        </w:tc>
        <w:tc>
          <w:tcPr>
            <w:tcW w:type="dxa" w:w="5040"/>
          </w:tcPr>
          <w:p>
            <w:r>
              <w:rPr>
                <w:sz w:val="14"/>
              </w:rPr>
              <w:t>Portfolio visibility, consolidation opportunities</w:t>
            </w:r>
          </w:p>
        </w:tc>
      </w:tr>
      <w:tr>
        <w:tc>
          <w:tcPr>
            <w:tcW w:type="dxa" w:w="5040"/>
          </w:tcPr>
          <w:p>
            <w:r>
              <w:rPr>
                <w:sz w:val="14"/>
              </w:rPr>
              <w:t>Audit-Ready Reports</w:t>
            </w:r>
          </w:p>
        </w:tc>
        <w:tc>
          <w:tcPr>
            <w:tcW w:type="dxa" w:w="5040"/>
          </w:tcPr>
          <w:p>
            <w:r>
              <w:rPr>
                <w:sz w:val="14"/>
              </w:rPr>
              <w:t>One-click compliance reports for regulations</w:t>
            </w:r>
          </w:p>
        </w:tc>
      </w:tr>
      <w:tr>
        <w:tc>
          <w:tcPr>
            <w:tcW w:type="dxa" w:w="5040"/>
          </w:tcPr>
          <w:p>
            <w:r>
              <w:rPr>
                <w:sz w:val="14"/>
              </w:rPr>
              <w:t>Vendor Portal</w:t>
            </w:r>
          </w:p>
        </w:tc>
        <w:tc>
          <w:tcPr>
            <w:tcW w:type="dxa" w:w="5040"/>
          </w:tcPr>
          <w:p>
            <w:r>
              <w:rPr>
                <w:sz w:val="14"/>
              </w:rPr>
              <w:t>Self-service document submission</w:t>
            </w:r>
          </w:p>
        </w:tc>
      </w:tr>
      <w:tr>
        <w:tc>
          <w:tcPr>
            <w:tcW w:type="dxa" w:w="5040"/>
          </w:tcPr>
          <w:p>
            <w:r>
              <w:rPr>
                <w:sz w:val="14"/>
              </w:rPr>
              <w:t>AI Assistant</w:t>
            </w:r>
          </w:p>
        </w:tc>
        <w:tc>
          <w:tcPr>
            <w:tcW w:type="dxa" w:w="5040"/>
          </w:tcPr>
          <w:p>
            <w:r>
              <w:rPr>
                <w:sz w:val="14"/>
              </w:rPr>
              <w:t>Natural language Q&amp;A for portfolio insights</w:t>
            </w:r>
          </w:p>
        </w:tc>
      </w:tr>
      <w:tr>
        <w:tc>
          <w:tcPr>
            <w:tcW w:type="dxa" w:w="5040"/>
          </w:tcPr>
          <w:p>
            <w:r>
              <w:rPr>
                <w:sz w:val="14"/>
              </w:rPr>
              <w:t>Workflow Automation</w:t>
            </w:r>
          </w:p>
        </w:tc>
        <w:tc>
          <w:tcPr>
            <w:tcW w:type="dxa" w:w="5040"/>
          </w:tcPr>
          <w:p>
            <w:r>
              <w:rPr>
                <w:sz w:val="14"/>
              </w:rPr>
              <w:t>Approval routing, renewals, escalations</w:t>
            </w:r>
          </w:p>
        </w:tc>
      </w:tr>
    </w:tbl>
    <w:p>
      <w:pPr>
        <w:pStyle w:val="Heading2"/>
      </w:pPr>
      <w:r>
        <w:rPr>
          <w:color w:val="003366"/>
          <w:sz w:val="22"/>
        </w:rPr>
        <w:t>The Outcome</w:t>
      </w:r>
    </w:p>
    <w:p>
      <w:pPr>
        <w:pStyle w:val="ListBullet"/>
      </w:pPr>
      <w:r>
        <w:rPr>
          <w:sz w:val="16"/>
        </w:rPr>
        <w:t>10-20% contract spend savings through optimization</w:t>
      </w:r>
    </w:p>
    <w:p>
      <w:pPr>
        <w:pStyle w:val="ListBullet"/>
      </w:pPr>
      <w:r>
        <w:rPr>
          <w:sz w:val="16"/>
        </w:rPr>
        <w:t>80-95% reduction in audit findings</w:t>
      </w:r>
    </w:p>
    <w:p>
      <w:pPr>
        <w:pStyle w:val="ListBullet"/>
      </w:pPr>
      <w:r>
        <w:rPr>
          <w:sz w:val="16"/>
        </w:rPr>
        <w:t>60-80% time savings on contract administration</w:t>
      </w:r>
    </w:p>
    <w:p>
      <w:pPr>
        <w:pStyle w:val="ListBullet"/>
      </w:pPr>
      <w:r>
        <w:rPr>
          <w:sz w:val="16"/>
        </w:rPr>
        <w:t>90%+ on-time renewals eliminating gaps</w:t>
      </w:r>
    </w:p>
    <w:p>
      <w:pPr>
        <w:pStyle w:val="ListBullet"/>
      </w:pPr>
      <w:r>
        <w:rPr>
          <w:sz w:val="16"/>
        </w:rPr>
        <w:t>25-40% improvement in vendor performance</w:t>
      </w:r>
    </w:p>
    <w:p>
      <w:pPr>
        <w:pStyle w:val="ListBullet"/>
      </w:pPr>
      <w:r>
        <w:rPr>
          <w:sz w:val="16"/>
        </w:rPr>
        <w:t>90% faster audit preparation</w:t>
      </w:r>
    </w:p>
    <w:p>
      <w:r>
        <w:rPr>
          <w:b/>
          <w:sz w:val="16"/>
        </w:rPr>
        <w:t xml:space="preserve">Sample ROI: </w:t>
      </w:r>
      <w:r>
        <w:rPr>
          <w:sz w:val="16"/>
        </w:rPr>
        <w:t>500 Contracts | $150M Spend → $9.8M annual value | Investment: $150K-300K | ROI: 33-66x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03366"/>
                <w:sz w:val="18"/>
              </w:rPr>
              <w:t>Who It's For</w:t>
            </w:r>
          </w:p>
          <w:p>
            <w:r>
              <w:rPr>
                <w:b/>
                <w:sz w:val="16"/>
              </w:rPr>
              <w:t>Government:</w:t>
            </w:r>
          </w:p>
          <w:p>
            <w:pPr>
              <w:pStyle w:val="ListBullet"/>
            </w:pPr>
            <w:r>
              <w:rPr>
                <w:sz w:val="14"/>
              </w:rPr>
              <w:t>County/City procurement</w:t>
            </w:r>
          </w:p>
          <w:p>
            <w:pPr>
              <w:pStyle w:val="ListBullet"/>
            </w:pPr>
            <w:r>
              <w:rPr>
                <w:sz w:val="14"/>
              </w:rPr>
              <w:t>State agencies</w:t>
            </w:r>
          </w:p>
          <w:p>
            <w:pPr>
              <w:pStyle w:val="ListBullet"/>
            </w:pPr>
            <w:r>
              <w:rPr>
                <w:sz w:val="14"/>
              </w:rPr>
              <w:t>School districts</w:t>
            </w:r>
          </w:p>
          <w:p>
            <w:pPr>
              <w:pStyle w:val="ListBullet"/>
            </w:pPr>
            <w:r>
              <w:rPr>
                <w:sz w:val="14"/>
              </w:rPr>
              <w:t>Higher education</w:t>
            </w:r>
          </w:p>
          <w:p>
            <w:pPr>
              <w:pStyle w:val="ListBullet"/>
            </w:pPr>
            <w:r>
              <w:rPr>
                <w:sz w:val="14"/>
              </w:rPr>
              <w:t>Utilities, transit agencies</w:t>
            </w:r>
          </w:p>
          <w:p>
            <w:r>
              <w:rPr>
                <w:b/>
                <w:sz w:val="16"/>
              </w:rPr>
              <w:t>Private Sector:</w:t>
            </w:r>
          </w:p>
          <w:p>
            <w:pPr>
              <w:pStyle w:val="ListBullet"/>
            </w:pPr>
            <w:r>
              <w:rPr>
                <w:sz w:val="14"/>
              </w:rPr>
              <w:t>Construction companies</w:t>
            </w:r>
          </w:p>
          <w:p>
            <w:pPr>
              <w:pStyle w:val="ListBullet"/>
            </w:pPr>
            <w:r>
              <w:rPr>
                <w:sz w:val="14"/>
              </w:rPr>
              <w:t>Healthcare systems</w:t>
            </w:r>
          </w:p>
          <w:p>
            <w:pPr>
              <w:pStyle w:val="ListBullet"/>
            </w:pPr>
            <w:r>
              <w:rPr>
                <w:sz w:val="14"/>
              </w:rPr>
              <w:t>Manufacturers</w:t>
            </w:r>
          </w:p>
          <w:p>
            <w:pPr>
              <w:pStyle w:val="ListBullet"/>
            </w:pPr>
            <w:r>
              <w:rPr>
                <w:sz w:val="14"/>
              </w:rPr>
              <w:t>Financial institutions</w:t>
            </w:r>
          </w:p>
          <w:p>
            <w:pPr>
              <w:pStyle w:val="ListBullet"/>
            </w:pPr>
            <w:r>
              <w:rPr>
                <w:sz w:val="14"/>
              </w:rPr>
              <w:t>Real estate/property mgmt</w:t>
            </w:r>
          </w:p>
        </w:tc>
        <w:tc>
          <w:tcPr>
            <w:tcW w:type="dxa" w:w="5040"/>
          </w:tcPr>
          <w:p>
            <w:r>
              <w:rPr>
                <w:b/>
                <w:color w:val="003366"/>
                <w:sz w:val="18"/>
              </w:rPr>
              <w:t>What Makes It Different</w:t>
            </w:r>
          </w:p>
          <w:p>
            <w:r>
              <w:rPr>
                <w:b/>
                <w:sz w:val="14"/>
              </w:rPr>
              <w:t xml:space="preserve">vs. Spreadsheets: </w:t>
            </w:r>
            <w:r>
              <w:rPr>
                <w:sz w:val="14"/>
              </w:rPr>
              <w:t>Automated, proactive, analytics, vendor portals</w:t>
            </w:r>
          </w:p>
          <w:p>
            <w:r>
              <w:rPr>
                <w:b/>
                <w:sz w:val="14"/>
              </w:rPr>
              <w:t xml:space="preserve">vs. Generic CLM: </w:t>
            </w:r>
            <w:r>
              <w:rPr>
                <w:sz w:val="14"/>
              </w:rPr>
              <w:t>Compliance focus, performance depth, risk intelligence</w:t>
            </w:r>
          </w:p>
          <w:p>
            <w:r>
              <w:rPr>
                <w:b/>
                <w:sz w:val="14"/>
              </w:rPr>
              <w:t xml:space="preserve">vs. ERP Systems: </w:t>
            </w:r>
            <w:r>
              <w:rPr>
                <w:sz w:val="14"/>
              </w:rPr>
              <w:t>Oversight depth, not just transactions</w:t>
            </w:r>
          </w:p>
          <w:p>
            <w:r>
              <w:rPr>
                <w:b/>
                <w:sz w:val="14"/>
              </w:rPr>
              <w:t>Unique Strengths:</w:t>
            </w:r>
          </w:p>
          <w:p>
            <w:pPr>
              <w:pStyle w:val="ListBullet"/>
            </w:pPr>
            <w:r>
              <w:rPr>
                <w:sz w:val="14"/>
              </w:rPr>
              <w:t>Compliance-first design</w:t>
            </w:r>
          </w:p>
          <w:p>
            <w:pPr>
              <w:pStyle w:val="ListBullet"/>
            </w:pPr>
            <w:r>
              <w:rPr>
                <w:sz w:val="14"/>
              </w:rPr>
              <w:t>Vendor performance engine</w:t>
            </w:r>
          </w:p>
          <w:p>
            <w:pPr>
              <w:pStyle w:val="ListBullet"/>
            </w:pPr>
            <w:r>
              <w:rPr>
                <w:sz w:val="14"/>
              </w:rPr>
              <w:t>Predictive risk intelligence</w:t>
            </w:r>
          </w:p>
          <w:p>
            <w:pPr>
              <w:pStyle w:val="ListBullet"/>
            </w:pPr>
            <w:r>
              <w:rPr>
                <w:sz w:val="14"/>
              </w:rPr>
              <w:t>Government procurement expertise</w:t>
            </w:r>
          </w:p>
          <w:p>
            <w:pPr>
              <w:pStyle w:val="ListBullet"/>
            </w:pPr>
            <w:r>
              <w:rPr>
                <w:sz w:val="14"/>
              </w:rPr>
              <w:t>Insurance &amp; license tracking</w:t>
            </w:r>
          </w:p>
          <w:p>
            <w:pPr>
              <w:pStyle w:val="ListBullet"/>
            </w:pPr>
            <w:r>
              <w:rPr>
                <w:sz w:val="14"/>
              </w:rPr>
              <w:t>Audit readiness</w:t>
            </w:r>
          </w:p>
          <w:p>
            <w:pPr>
              <w:pStyle w:val="ListBullet"/>
            </w:pPr>
            <w:r>
              <w:rPr>
                <w:sz w:val="14"/>
              </w:rPr>
              <w:t>White-label capable</w:t>
            </w:r>
          </w:p>
        </w:tc>
      </w:tr>
    </w:tbl>
    <w:p>
      <w:pPr>
        <w:pStyle w:val="Heading2"/>
      </w:pPr>
      <w:r>
        <w:rPr>
          <w:color w:val="003366"/>
          <w:sz w:val="22"/>
        </w:rPr>
        <w:t>Proven Use Cases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2"/>
              </w:rPr>
              <w:t>Scenario</w:t>
            </w:r>
          </w:p>
        </w:tc>
        <w:tc>
          <w:tcPr>
            <w:tcW w:type="dxa" w:w="2520"/>
          </w:tcPr>
          <w:p>
            <w:r>
              <w:rPr>
                <w:b/>
                <w:sz w:val="12"/>
              </w:rPr>
              <w:t>Challenge</w:t>
            </w:r>
          </w:p>
        </w:tc>
        <w:tc>
          <w:tcPr>
            <w:tcW w:type="dxa" w:w="2520"/>
          </w:tcPr>
          <w:p>
            <w:r>
              <w:rPr>
                <w:b/>
                <w:sz w:val="12"/>
              </w:rPr>
              <w:t>Solution</w:t>
            </w:r>
          </w:p>
        </w:tc>
        <w:tc>
          <w:tcPr>
            <w:tcW w:type="dxa" w:w="2520"/>
          </w:tcPr>
          <w:p>
            <w:r>
              <w:rPr>
                <w:b/>
                <w:sz w:val="12"/>
              </w:rPr>
              <w:t>Result</w:t>
            </w:r>
          </w:p>
        </w:tc>
      </w:tr>
      <w:tr>
        <w:tc>
          <w:tcPr>
            <w:tcW w:type="dxa" w:w="2520"/>
          </w:tcPr>
          <w:p>
            <w:r>
              <w:rPr>
                <w:sz w:val="12"/>
              </w:rPr>
              <w:t>Insurance Gap</w:t>
            </w:r>
          </w:p>
        </w:tc>
        <w:tc>
          <w:tcPr>
            <w:tcW w:type="dxa" w:w="2520"/>
          </w:tcPr>
          <w:p>
            <w:r>
              <w:rPr>
                <w:sz w:val="12"/>
              </w:rPr>
              <w:t>Lapse, $2M lawsuit</w:t>
            </w:r>
          </w:p>
        </w:tc>
        <w:tc>
          <w:tcPr>
            <w:tcW w:type="dxa" w:w="2520"/>
          </w:tcPr>
          <w:p>
            <w:r>
              <w:rPr>
                <w:sz w:val="12"/>
              </w:rPr>
              <w:t>Auto alerts 30/60/90 days</w:t>
            </w:r>
          </w:p>
        </w:tc>
        <w:tc>
          <w:tcPr>
            <w:tcW w:type="dxa" w:w="2520"/>
          </w:tcPr>
          <w:p>
            <w:r>
              <w:rPr>
                <w:sz w:val="12"/>
              </w:rPr>
              <w:t>$2M avoided</w:t>
            </w:r>
          </w:p>
        </w:tc>
      </w:tr>
      <w:tr>
        <w:tc>
          <w:tcPr>
            <w:tcW w:type="dxa" w:w="2520"/>
          </w:tcPr>
          <w:p>
            <w:r>
              <w:rPr>
                <w:sz w:val="12"/>
              </w:rPr>
              <w:t>Audit</w:t>
            </w:r>
          </w:p>
        </w:tc>
        <w:tc>
          <w:tcPr>
            <w:tcW w:type="dxa" w:w="2520"/>
          </w:tcPr>
          <w:p>
            <w:r>
              <w:rPr>
                <w:sz w:val="12"/>
              </w:rPr>
              <w:t>Federal audit, 3 weeks prep</w:t>
            </w:r>
          </w:p>
        </w:tc>
        <w:tc>
          <w:tcPr>
            <w:tcW w:type="dxa" w:w="2520"/>
          </w:tcPr>
          <w:p>
            <w:r>
              <w:rPr>
                <w:sz w:val="12"/>
              </w:rPr>
              <w:t>One-click reports</w:t>
            </w:r>
          </w:p>
        </w:tc>
        <w:tc>
          <w:tcPr>
            <w:tcW w:type="dxa" w:w="2520"/>
          </w:tcPr>
          <w:p>
            <w:r>
              <w:rPr>
                <w:sz w:val="12"/>
              </w:rPr>
              <w:t>Zero findings, saved 300 hrs</w:t>
            </w:r>
          </w:p>
        </w:tc>
      </w:tr>
      <w:tr>
        <w:tc>
          <w:tcPr>
            <w:tcW w:type="dxa" w:w="2520"/>
          </w:tcPr>
          <w:p>
            <w:r>
              <w:rPr>
                <w:sz w:val="12"/>
              </w:rPr>
              <w:t>Performance Defense</w:t>
            </w:r>
          </w:p>
        </w:tc>
        <w:tc>
          <w:tcPr>
            <w:tcW w:type="dxa" w:w="2520"/>
          </w:tcPr>
          <w:p>
            <w:r>
              <w:rPr>
                <w:sz w:val="12"/>
              </w:rPr>
              <w:t>Procurement protest</w:t>
            </w:r>
          </w:p>
        </w:tc>
        <w:tc>
          <w:tcPr>
            <w:tcW w:type="dxa" w:w="2520"/>
          </w:tcPr>
          <w:p>
            <w:r>
              <w:rPr>
                <w:sz w:val="12"/>
              </w:rPr>
              <w:t>3-year performance data</w:t>
            </w:r>
          </w:p>
        </w:tc>
        <w:tc>
          <w:tcPr>
            <w:tcW w:type="dxa" w:w="2520"/>
          </w:tcPr>
          <w:p>
            <w:r>
              <w:rPr>
                <w:sz w:val="12"/>
              </w:rPr>
              <w:t>Protest dismissed</w:t>
            </w:r>
          </w:p>
        </w:tc>
      </w:tr>
      <w:tr>
        <w:tc>
          <w:tcPr>
            <w:tcW w:type="dxa" w:w="2520"/>
          </w:tcPr>
          <w:p>
            <w:r>
              <w:rPr>
                <w:sz w:val="12"/>
              </w:rPr>
              <w:t>Spend Optimization</w:t>
            </w:r>
          </w:p>
        </w:tc>
        <w:tc>
          <w:tcPr>
            <w:tcW w:type="dxa" w:w="2520"/>
          </w:tcPr>
          <w:p>
            <w:r>
              <w:rPr>
                <w:sz w:val="12"/>
              </w:rPr>
              <w:t>CFO demands $5M savings</w:t>
            </w:r>
          </w:p>
        </w:tc>
        <w:tc>
          <w:tcPr>
            <w:tcW w:type="dxa" w:w="2520"/>
          </w:tcPr>
          <w:p>
            <w:r>
              <w:rPr>
                <w:sz w:val="12"/>
              </w:rPr>
              <w:t>Analytics identify opportunities</w:t>
            </w:r>
          </w:p>
        </w:tc>
        <w:tc>
          <w:tcPr>
            <w:tcW w:type="dxa" w:w="2520"/>
          </w:tcPr>
          <w:p>
            <w:r>
              <w:rPr>
                <w:sz w:val="12"/>
              </w:rPr>
              <w:t>$6.5M found</w:t>
            </w:r>
          </w:p>
        </w:tc>
      </w:tr>
      <w:tr>
        <w:tc>
          <w:tcPr>
            <w:tcW w:type="dxa" w:w="2520"/>
          </w:tcPr>
          <w:p>
            <w:r>
              <w:rPr>
                <w:sz w:val="12"/>
              </w:rPr>
              <w:t>Consulting Scale</w:t>
            </w:r>
          </w:p>
        </w:tc>
        <w:tc>
          <w:tcPr>
            <w:tcW w:type="dxa" w:w="2520"/>
          </w:tcPr>
          <w:p>
            <w:r>
              <w:rPr>
                <w:sz w:val="12"/>
              </w:rPr>
              <w:t>Can't grow without staff</w:t>
            </w:r>
          </w:p>
        </w:tc>
        <w:tc>
          <w:tcPr>
            <w:tcW w:type="dxa" w:w="2520"/>
          </w:tcPr>
          <w:p>
            <w:r>
              <w:rPr>
                <w:sz w:val="12"/>
              </w:rPr>
              <w:t>White-label, 70% automation</w:t>
            </w:r>
          </w:p>
        </w:tc>
        <w:tc>
          <w:tcPr>
            <w:tcW w:type="dxa" w:w="2520"/>
          </w:tcPr>
          <w:p>
            <w:r>
              <w:rPr>
                <w:sz w:val="12"/>
              </w:rPr>
              <w:t>5 to 12 clients, 40% profit</w:t>
            </w:r>
          </w:p>
        </w:tc>
      </w:tr>
      <w:tr>
        <w:tc>
          <w:tcPr>
            <w:tcW w:type="dxa" w:w="2520"/>
          </w:tcPr>
          <w:p>
            <w:r>
              <w:rPr>
                <w:sz w:val="12"/>
              </w:rPr>
              <w:t>Grant Compliance</w:t>
            </w:r>
          </w:p>
        </w:tc>
        <w:tc>
          <w:tcPr>
            <w:tcW w:type="dxa" w:w="2520"/>
          </w:tcPr>
          <w:p>
            <w:r>
              <w:rPr>
                <w:sz w:val="12"/>
              </w:rPr>
              <w:t>$100M grants, 20 projects</w:t>
            </w:r>
          </w:p>
        </w:tc>
        <w:tc>
          <w:tcPr>
            <w:tcW w:type="dxa" w:w="2520"/>
          </w:tcPr>
          <w:p>
            <w:r>
              <w:rPr>
                <w:sz w:val="12"/>
              </w:rPr>
              <w:t>Automated tracking</w:t>
            </w:r>
          </w:p>
        </w:tc>
        <w:tc>
          <w:tcPr>
            <w:tcW w:type="dxa" w:w="2520"/>
          </w:tcPr>
          <w:p>
            <w:r>
              <w:rPr>
                <w:sz w:val="12"/>
              </w:rPr>
              <w:t>100% on-time, zero violations</w:t>
            </w:r>
          </w:p>
        </w:tc>
      </w:tr>
    </w:tbl>
    <w:p>
      <w:pPr>
        <w:pStyle w:val="Heading2"/>
      </w:pPr>
      <w:r>
        <w:rPr>
          <w:color w:val="003366"/>
          <w:sz w:val="22"/>
        </w:rPr>
        <w:t>The Bottom Line</w:t>
      </w:r>
    </w:p>
    <w:p>
      <w:r>
        <w:rPr>
          <w:b/>
          <w:sz w:val="18"/>
        </w:rPr>
        <w:t>Transform contract oversight from reactive chaos to predictive intelligence.</w:t>
      </w:r>
    </w:p>
    <w:p>
      <w:r>
        <w:rPr>
          <w:sz w:val="16"/>
        </w:rPr>
        <w:t>Organizations can't afford contract mismanagement - the risks are too high. This platform provides automated compliance monitoring, performance intelligence, and strategic insights to maximize contract value while minimizing risk.</w:t>
      </w:r>
    </w:p>
    <w:p>
      <w:r>
        <w:rPr>
          <w:b/>
          <w:sz w:val="16"/>
        </w:rPr>
        <w:t xml:space="preserve">Pricing: </w:t>
      </w:r>
      <w:r>
        <w:rPr>
          <w:sz w:val="16"/>
        </w:rPr>
        <w:t>Government/Private SaaS: $50K-300K/yr | Consulting: $3K-5K/consultant/yr | White-label available</w:t>
      </w:r>
    </w:p>
    <w:p>
      <w:pPr>
        <w:jc w:val="center"/>
      </w:pPr>
      <w:r>
        <w:rPr>
          <w:i/>
          <w:color w:val="003366"/>
          <w:sz w:val="18"/>
        </w:rPr>
        <w:t>"Ensure compliance. Optimize performance. Maximize value. Transform contract oversight."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