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Finastra Fusion Banking Platform</w:t>
      </w:r>
    </w:p>
    <w:p>
      <w:r>
        <w:t>Proposal for: Gateway Community Bank</w:t>
      </w:r>
    </w:p>
    <w:p>
      <w:r>
        <w:t>Prepared by: Finastra</w:t>
      </w:r>
    </w:p>
    <w:p>
      <w:r>
        <w:t>Date: January 2025</w:t>
      </w:r>
    </w:p>
    <w:p/>
    <w:p>
      <w:pPr>
        <w:pStyle w:val="Heading1"/>
      </w:pPr>
      <w:r>
        <w:t>Fusion Platform Services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Solution</w:t>
            </w:r>
          </w:p>
        </w:tc>
        <w:tc>
          <w:tcPr>
            <w:tcW w:type="dxa" w:w="2160"/>
          </w:tcPr>
          <w:p>
            <w:r>
              <w:t>Category</w:t>
            </w:r>
          </w:p>
        </w:tc>
        <w:tc>
          <w:tcPr>
            <w:tcW w:type="dxa" w:w="2160"/>
          </w:tcPr>
          <w:p>
            <w:r>
              <w:t>Monthly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</w:tr>
      <w:tr>
        <w:tc>
          <w:tcPr>
            <w:tcW w:type="dxa" w:w="2160"/>
          </w:tcPr>
          <w:p>
            <w:r>
              <w:t>Fusion Core Banking</w:t>
            </w:r>
          </w:p>
        </w:tc>
        <w:tc>
          <w:tcPr>
            <w:tcW w:type="dxa" w:w="2160"/>
          </w:tcPr>
          <w:p>
            <w:r>
              <w:t>Bundle</w:t>
            </w:r>
          </w:p>
        </w:tc>
        <w:tc>
          <w:tcPr>
            <w:tcW w:type="dxa" w:w="2160"/>
          </w:tcPr>
          <w:p>
            <w:r>
              <w:t>$22,400.00</w:t>
            </w:r>
          </w:p>
        </w:tc>
        <w:tc>
          <w:tcPr>
            <w:tcW w:type="dxa" w:w="2160"/>
          </w:tcPr>
          <w:p>
            <w:r>
              <w:t>Monthly F</w:t>
            </w:r>
          </w:p>
        </w:tc>
      </w:tr>
      <w:tr>
        <w:tc>
          <w:tcPr>
            <w:tcW w:type="dxa" w:w="2160"/>
          </w:tcPr>
          <w:p>
            <w:r>
              <w:t>Fusion Digital Banking</w:t>
            </w:r>
          </w:p>
        </w:tc>
        <w:tc>
          <w:tcPr>
            <w:tcW w:type="dxa" w:w="2160"/>
          </w:tcPr>
          <w:p>
            <w:r>
              <w:t>Bundle</w:t>
            </w:r>
          </w:p>
        </w:tc>
        <w:tc>
          <w:tcPr>
            <w:tcW w:type="dxa" w:w="2160"/>
          </w:tcPr>
          <w:p>
            <w:r>
              <w:t>$9,800.00</w:t>
            </w:r>
          </w:p>
        </w:tc>
        <w:tc>
          <w:tcPr>
            <w:tcW w:type="dxa" w:w="2160"/>
          </w:tcPr>
          <w:p>
            <w:r>
              <w:t>Monthly F</w:t>
            </w:r>
          </w:p>
        </w:tc>
      </w:tr>
      <w:tr>
        <w:tc>
          <w:tcPr>
            <w:tcW w:type="dxa" w:w="2160"/>
          </w:tcPr>
          <w:p>
            <w:r>
              <w:t>Fusion Mobile</w:t>
            </w:r>
          </w:p>
        </w:tc>
        <w:tc>
          <w:tcPr>
            <w:tcW w:type="dxa" w:w="2160"/>
          </w:tcPr>
          <w:p>
            <w:r>
              <w:t>Bundle</w:t>
            </w:r>
          </w:p>
        </w:tc>
        <w:tc>
          <w:tcPr>
            <w:tcW w:type="dxa" w:w="2160"/>
          </w:tcPr>
          <w:p>
            <w:r>
              <w:t>$5,600.00</w:t>
            </w:r>
          </w:p>
        </w:tc>
        <w:tc>
          <w:tcPr>
            <w:tcW w:type="dxa" w:w="2160"/>
          </w:tcPr>
          <w:p>
            <w:r>
              <w:t>Monthly F</w:t>
            </w:r>
          </w:p>
        </w:tc>
      </w:tr>
      <w:tr>
        <w:tc>
          <w:tcPr>
            <w:tcW w:type="dxa" w:w="2160"/>
          </w:tcPr>
          <w:p>
            <w:r>
              <w:t>Fusion Payments Hub</w:t>
            </w:r>
          </w:p>
        </w:tc>
        <w:tc>
          <w:tcPr>
            <w:tcW w:type="dxa" w:w="2160"/>
          </w:tcPr>
          <w:p>
            <w:r>
              <w:t>Bundle</w:t>
            </w:r>
          </w:p>
        </w:tc>
        <w:tc>
          <w:tcPr>
            <w:tcW w:type="dxa" w:w="2160"/>
          </w:tcPr>
          <w:p>
            <w:r>
              <w:t>$7,200.00</w:t>
            </w:r>
          </w:p>
        </w:tc>
        <w:tc>
          <w:tcPr>
            <w:tcW w:type="dxa" w:w="2160"/>
          </w:tcPr>
          <w:p>
            <w:r>
              <w:t>Monthly F</w:t>
            </w:r>
          </w:p>
        </w:tc>
      </w:tr>
      <w:tr>
        <w:tc>
          <w:tcPr>
            <w:tcW w:type="dxa" w:w="2160"/>
          </w:tcPr>
          <w:p>
            <w:r>
              <w:t>Fusion Document Mgmt</w:t>
            </w:r>
          </w:p>
        </w:tc>
        <w:tc>
          <w:tcPr>
            <w:tcW w:type="dxa" w:w="2160"/>
          </w:tcPr>
          <w:p>
            <w:r>
              <w:t>Bundle</w:t>
            </w:r>
          </w:p>
        </w:tc>
        <w:tc>
          <w:tcPr>
            <w:tcW w:type="dxa" w:w="2160"/>
          </w:tcPr>
          <w:p>
            <w:r>
              <w:t>$4,100.00</w:t>
            </w:r>
          </w:p>
        </w:tc>
        <w:tc>
          <w:tcPr>
            <w:tcW w:type="dxa" w:w="2160"/>
          </w:tcPr>
          <w:p>
            <w:r>
              <w:t>Monthly F</w:t>
            </w:r>
          </w:p>
        </w:tc>
      </w:tr>
      <w:tr>
        <w:tc>
          <w:tcPr>
            <w:tcW w:type="dxa" w:w="2160"/>
          </w:tcPr>
          <w:p>
            <w:r>
              <w:t>Fusion Analytics</w:t>
            </w:r>
          </w:p>
        </w:tc>
        <w:tc>
          <w:tcPr>
            <w:tcW w:type="dxa" w:w="2160"/>
          </w:tcPr>
          <w:p>
            <w:r>
              <w:t>Bundle</w:t>
            </w:r>
          </w:p>
        </w:tc>
        <w:tc>
          <w:tcPr>
            <w:tcW w:type="dxa" w:w="2160"/>
          </w:tcPr>
          <w:p>
            <w:r>
              <w:t>$3,400.00</w:t>
            </w:r>
          </w:p>
        </w:tc>
        <w:tc>
          <w:tcPr>
            <w:tcW w:type="dxa" w:w="2160"/>
          </w:tcPr>
          <w:p>
            <w:r>
              <w:t>Monthly F</w:t>
            </w:r>
          </w:p>
        </w:tc>
      </w:tr>
      <w:tr>
        <w:tc>
          <w:tcPr>
            <w:tcW w:type="dxa" w:w="2160"/>
          </w:tcPr>
          <w:p>
            <w:r>
              <w:t>BUNDLE TOTAL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$52,500.00</w:t>
            </w:r>
          </w:p>
        </w:tc>
        <w:tc>
          <w:tcPr>
            <w:tcW w:type="dxa" w:w="2160"/>
          </w:tcPr>
          <w:p>
            <w:r/>
          </w:p>
        </w:tc>
      </w:tr>
    </w:tbl>
    <w:p>
      <w:pPr>
        <w:pStyle w:val="Heading1"/>
      </w:pPr>
      <w:r>
        <w:t>Transaction Services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Service</w:t>
            </w:r>
          </w:p>
        </w:tc>
        <w:tc>
          <w:tcPr>
            <w:tcW w:type="dxa" w:w="2160"/>
          </w:tcPr>
          <w:p>
            <w:r>
              <w:t>Base</w:t>
            </w:r>
          </w:p>
        </w:tc>
        <w:tc>
          <w:tcPr>
            <w:tcW w:type="dxa" w:w="2160"/>
          </w:tcPr>
          <w:p>
            <w:r>
              <w:t>Per-Item</w:t>
            </w:r>
          </w:p>
        </w:tc>
        <w:tc>
          <w:tcPr>
            <w:tcW w:type="dxa" w:w="2160"/>
          </w:tcPr>
          <w:p>
            <w:r>
              <w:t>Category</w:t>
            </w:r>
          </w:p>
        </w:tc>
      </w:tr>
      <w:tr>
        <w:tc>
          <w:tcPr>
            <w:tcW w:type="dxa" w:w="2160"/>
          </w:tcPr>
          <w:p>
            <w:r>
              <w:t>ACH Processing</w:t>
            </w:r>
          </w:p>
        </w:tc>
        <w:tc>
          <w:tcPr>
            <w:tcW w:type="dxa" w:w="2160"/>
          </w:tcPr>
          <w:p>
            <w:r>
              <w:t>$980.00</w:t>
            </w:r>
          </w:p>
        </w:tc>
        <w:tc>
          <w:tcPr>
            <w:tcW w:type="dxa" w:w="2160"/>
          </w:tcPr>
          <w:p>
            <w:r>
              <w:t>$0.072/item</w:t>
            </w:r>
          </w:p>
        </w:tc>
        <w:tc>
          <w:tcPr>
            <w:tcW w:type="dxa" w:w="2160"/>
          </w:tcPr>
          <w:p>
            <w:r>
              <w:t>Non-Bundle Required</w:t>
            </w:r>
          </w:p>
        </w:tc>
      </w:tr>
      <w:tr>
        <w:tc>
          <w:tcPr>
            <w:tcW w:type="dxa" w:w="2160"/>
          </w:tcPr>
          <w:p>
            <w:r>
              <w:t>Wire Services</w:t>
            </w:r>
          </w:p>
        </w:tc>
        <w:tc>
          <w:tcPr>
            <w:tcW w:type="dxa" w:w="2160"/>
          </w:tcPr>
          <w:p>
            <w:r>
              <w:t>$580.00</w:t>
            </w:r>
          </w:p>
        </w:tc>
        <w:tc>
          <w:tcPr>
            <w:tcW w:type="dxa" w:w="2160"/>
          </w:tcPr>
          <w:p>
            <w:r>
              <w:t>$14.50/wire</w:t>
            </w:r>
          </w:p>
        </w:tc>
        <w:tc>
          <w:tcPr>
            <w:tcW w:type="dxa" w:w="2160"/>
          </w:tcPr>
          <w:p>
            <w:r>
              <w:t>Non-Bundle Required</w:t>
            </w:r>
          </w:p>
        </w:tc>
      </w:tr>
      <w:tr>
        <w:tc>
          <w:tcPr>
            <w:tcW w:type="dxa" w:w="2160"/>
          </w:tcPr>
          <w:p>
            <w:r>
              <w:t>Remote Deposit</w:t>
            </w:r>
          </w:p>
        </w:tc>
        <w:tc>
          <w:tcPr>
            <w:tcW w:type="dxa" w:w="2160"/>
          </w:tcPr>
          <w:p>
            <w:r>
              <w:t>$720.00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Non-Bundle Required</w:t>
            </w:r>
          </w:p>
        </w:tc>
      </w:tr>
      <w:tr>
        <w:tc>
          <w:tcPr>
            <w:tcW w:type="dxa" w:w="2160"/>
          </w:tcPr>
          <w:p>
            <w:r>
              <w:t>Positive Pay</w:t>
            </w:r>
          </w:p>
        </w:tc>
        <w:tc>
          <w:tcPr>
            <w:tcW w:type="dxa" w:w="2160"/>
          </w:tcPr>
          <w:p>
            <w:r>
              <w:t>$425.00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Non-Bundle Required</w:t>
            </w:r>
          </w:p>
        </w:tc>
      </w:tr>
      <w:tr>
        <w:tc>
          <w:tcPr>
            <w:tcW w:type="dxa" w:w="2160"/>
          </w:tcPr>
          <w:p>
            <w:r>
              <w:t>Bill Pay</w:t>
            </w:r>
          </w:p>
        </w:tc>
        <w:tc>
          <w:tcPr>
            <w:tcW w:type="dxa" w:w="2160"/>
          </w:tcPr>
          <w:p>
            <w:r>
              <w:t>$380.00</w:t>
            </w:r>
          </w:p>
        </w:tc>
        <w:tc>
          <w:tcPr>
            <w:tcW w:type="dxa" w:w="2160"/>
          </w:tcPr>
          <w:p>
            <w:r>
              <w:t>$0.32/pmt</w:t>
            </w:r>
          </w:p>
        </w:tc>
        <w:tc>
          <w:tcPr>
            <w:tcW w:type="dxa" w:w="2160"/>
          </w:tcPr>
          <w:p>
            <w:r>
              <w:t>Non-Bundle Required</w:t>
            </w:r>
          </w:p>
        </w:tc>
      </w:tr>
      <w:tr>
        <w:tc>
          <w:tcPr>
            <w:tcW w:type="dxa" w:w="2160"/>
          </w:tcPr>
          <w:p>
            <w:r>
              <w:t>SERVICES TOTAL</w:t>
            </w:r>
          </w:p>
        </w:tc>
        <w:tc>
          <w:tcPr>
            <w:tcW w:type="dxa" w:w="2160"/>
          </w:tcPr>
          <w:p>
            <w:r>
              <w:t>$3,085.00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>
      <w:pPr>
        <w:pStyle w:val="Heading1"/>
      </w:pPr>
      <w:r>
        <w:t>Implementation</w:t>
      </w:r>
    </w:p>
    <w:p>
      <w:r>
        <w:t>Core Implementation: $165,000.00</w:t>
      </w:r>
    </w:p>
    <w:p>
      <w:r>
        <w:t>Data Migration: $55,000.00</w:t>
      </w:r>
    </w:p>
    <w:p>
      <w:r>
        <w:t>Training: $22,000.00</w:t>
      </w:r>
    </w:p>
    <w:p>
      <w:r>
        <w:t>Project Management: $28,000.00</w:t>
      </w:r>
    </w:p>
    <w:p>
      <w:r>
        <w:t>New Customer Credit: ($45,000.00)</w:t>
      </w:r>
    </w:p>
    <w:p>
      <w:r>
        <w:t>Net Implementation: $225,000.00</w:t>
      </w:r>
    </w:p>
    <w:p>
      <w:pPr>
        <w:pStyle w:val="Heading1"/>
      </w:pPr>
      <w:r>
        <w:t>Terms</w:t>
      </w:r>
    </w:p>
    <w:p>
      <w:r>
        <w:t>Contract Term: 7 Years</w:t>
      </w:r>
    </w:p>
    <w:p>
      <w:r>
        <w:t>Annual Increase: 5% Bundle, 3% Services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