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National Bank of Texas</w:t>
      </w:r>
    </w:p>
    <w:p>
      <w:pPr>
        <w:jc w:val="center"/>
      </w:pPr>
      <w:r>
        <w:t>Austin, Texas</w:t>
      </w:r>
    </w:p>
    <w:p/>
    <w:p>
      <w:pPr>
        <w:jc w:val="center"/>
      </w:pPr>
      <w:r>
        <w:rPr>
          <w:b/>
          <w:sz w:val="32"/>
        </w:rPr>
        <w:t>FIS Investment Summary</w:t>
      </w:r>
    </w:p>
    <w:p>
      <w:pPr>
        <w:jc w:val="center"/>
      </w:pPr>
      <w:r>
        <w:t>Renewal w/ Acquisition</w:t>
      </w:r>
    </w:p>
    <w:p/>
    <w:p>
      <w:pPr>
        <w:jc w:val="center"/>
      </w:pPr>
      <w:r>
        <w:t>January 2025 (presented to Arriba Advisors)</w:t>
      </w:r>
    </w:p>
    <w:p/>
    <w:p>
      <w:r>
        <w:t>We are honored to be your bank's technology partner.</w:t>
      </w:r>
    </w:p>
    <w:p>
      <w:r>
        <w:t>As you review our FIS Investment Summary, please note that we have tried to make this easy, while trying to be excellent partners, in terms of pricing.</w:t>
      </w:r>
    </w:p>
    <w:p/>
    <w:p>
      <w:r>
        <w:t>Below are specific details of our proposal:</w:t>
      </w:r>
    </w:p>
    <w:p/>
    <w:p>
      <w:pPr>
        <w:pStyle w:val="Heading1"/>
      </w:pPr>
      <w:r>
        <w:t>Financials</w:t>
      </w:r>
    </w:p>
    <w:p>
      <w:r>
        <w:t>If FIS contract renewal and Statement of Work (SOW) are both signed by March 31, 2025, FIS is pleased to offer the following:</w:t>
      </w:r>
    </w:p>
    <w:p/>
    <w:p>
      <w:r>
        <w:t>• $848,005 exit fee assistance credit</w:t>
      </w:r>
    </w:p>
    <w:p>
      <w:r>
        <w:t>• $248,876 conversion cost credit</w:t>
      </w:r>
    </w:p>
    <w:p>
      <w:r>
        <w:t>• $157,576 contract renewal credit</w:t>
      </w:r>
    </w:p>
    <w:p>
      <w:r>
        <w:t>• $36,369 monthly relationship credit for term of contract</w:t>
      </w:r>
    </w:p>
    <w:p>
      <w:r>
        <w:t>• $57,601 one-time service investment credit</w:t>
      </w:r>
    </w:p>
    <w:p/>
    <w:p>
      <w:pPr>
        <w:pStyle w:val="Heading1"/>
      </w:pPr>
      <w:r>
        <w:t>Term</w:t>
      </w:r>
    </w:p>
    <w:p>
      <w:r>
        <w:t>Term of this agreement will be 7 (7) years. All solutions will be coterminous, all pricing reflects HORIZON core contract term.</w:t>
      </w:r>
    </w:p>
    <w:p/>
    <w:p>
      <w:pPr>
        <w:pStyle w:val="Heading1"/>
      </w:pPr>
      <w:r>
        <w:t>Current Monthly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Pricing</w:t>
              <w:br/>
              <w:t>(as of April 2024)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Pricing</w:t>
              <w:br/>
              <w:t>(Combined Organization)</w:t>
            </w:r>
          </w:p>
        </w:tc>
      </w:tr>
      <w:tr>
        <w:tc>
          <w:tcPr>
            <w:tcW w:type="dxa" w:w="2880"/>
          </w:tcPr>
          <w:p>
            <w:r>
              <w:t>Core: HORIZON</w:t>
            </w:r>
          </w:p>
        </w:tc>
        <w:tc>
          <w:tcPr>
            <w:tcW w:type="dxa" w:w="2880"/>
          </w:tcPr>
          <w:p>
            <w:r>
              <w:t>$13,050</w:t>
            </w:r>
          </w:p>
        </w:tc>
        <w:tc>
          <w:tcPr>
            <w:tcW w:type="dxa" w:w="2880"/>
          </w:tcPr>
          <w:p>
            <w:r>
              <w:t>$20,644</w:t>
            </w:r>
          </w:p>
        </w:tc>
      </w:tr>
      <w:tr>
        <w:tc>
          <w:tcPr>
            <w:tcW w:type="dxa" w:w="2880"/>
          </w:tcPr>
          <w:p>
            <w:r>
              <w:t>Digital: D1 Flex, D1 Business, Mobile, Bill Pay</w:t>
            </w:r>
          </w:p>
        </w:tc>
        <w:tc>
          <w:tcPr>
            <w:tcW w:type="dxa" w:w="2880"/>
          </w:tcPr>
          <w:p>
            <w:r>
              <w:t>$14,633</w:t>
            </w:r>
          </w:p>
        </w:tc>
        <w:tc>
          <w:tcPr>
            <w:tcW w:type="dxa" w:w="2880"/>
          </w:tcPr>
          <w:p>
            <w:r>
              <w:t>$37,870</w:t>
            </w:r>
          </w:p>
        </w:tc>
      </w:tr>
      <w:tr>
        <w:tc>
          <w:tcPr>
            <w:tcW w:type="dxa" w:w="2880"/>
          </w:tcPr>
          <w:p>
            <w:r>
              <w:t>Digital: Website Services</w:t>
            </w:r>
          </w:p>
        </w:tc>
        <w:tc>
          <w:tcPr>
            <w:tcW w:type="dxa" w:w="2880"/>
          </w:tcPr>
          <w:p>
            <w:r>
              <w:t>$537</w:t>
            </w:r>
          </w:p>
        </w:tc>
        <w:tc>
          <w:tcPr>
            <w:tcW w:type="dxa" w:w="2880"/>
          </w:tcPr>
          <w:p>
            <w:r>
              <w:t>$572</w:t>
            </w:r>
          </w:p>
        </w:tc>
      </w:tr>
      <w:tr>
        <w:tc>
          <w:tcPr>
            <w:tcW w:type="dxa" w:w="2880"/>
          </w:tcPr>
          <w:p>
            <w:r>
              <w:t>Digital: Zelle</w:t>
            </w:r>
          </w:p>
        </w:tc>
        <w:tc>
          <w:tcPr>
            <w:tcW w:type="dxa" w:w="2880"/>
          </w:tcPr>
          <w:p>
            <w:r>
              <w:t>$706</w:t>
            </w:r>
          </w:p>
        </w:tc>
        <w:tc>
          <w:tcPr>
            <w:tcW w:type="dxa" w:w="2880"/>
          </w:tcPr>
          <w:p>
            <w:r>
              <w:t>$605</w:t>
            </w:r>
          </w:p>
        </w:tc>
      </w:tr>
      <w:tr>
        <w:tc>
          <w:tcPr>
            <w:tcW w:type="dxa" w:w="2880"/>
          </w:tcPr>
          <w:p>
            <w:r>
              <w:t>EFT: EFT Norcross, 3D Secure, Tokenization, SecurLOCK</w:t>
            </w:r>
          </w:p>
        </w:tc>
        <w:tc>
          <w:tcPr>
            <w:tcW w:type="dxa" w:w="2880"/>
          </w:tcPr>
          <w:p>
            <w:r>
              <w:t>$1,737</w:t>
            </w:r>
          </w:p>
        </w:tc>
        <w:tc>
          <w:tcPr>
            <w:tcW w:type="dxa" w:w="2880"/>
          </w:tcPr>
          <w:p>
            <w:r>
              <w:t>$7,673</w:t>
            </w:r>
          </w:p>
        </w:tc>
      </w:tr>
      <w:tr>
        <w:tc>
          <w:tcPr>
            <w:tcW w:type="dxa" w:w="2880"/>
          </w:tcPr>
          <w:p>
            <w:r>
              <w:t>Risk, Fraud &amp; Compliance: Decision Solutions</w:t>
            </w:r>
          </w:p>
        </w:tc>
        <w:tc>
          <w:tcPr>
            <w:tcW w:type="dxa" w:w="2880"/>
          </w:tcPr>
          <w:p>
            <w:r>
              <w:t>$895</w:t>
            </w:r>
          </w:p>
        </w:tc>
        <w:tc>
          <w:tcPr>
            <w:tcW w:type="dxa" w:w="2880"/>
          </w:tcPr>
          <w:p>
            <w:r>
              <w:t>$809</w:t>
            </w:r>
          </w:p>
        </w:tc>
      </w:tr>
      <w:tr>
        <w:tc>
          <w:tcPr>
            <w:tcW w:type="dxa" w:w="2880"/>
          </w:tcPr>
          <w:p>
            <w:r>
              <w:t>Treasury: eWire (Business)</w:t>
            </w:r>
          </w:p>
        </w:tc>
        <w:tc>
          <w:tcPr>
            <w:tcW w:type="dxa" w:w="2880"/>
          </w:tcPr>
          <w:p>
            <w:r>
              <w:t>$2,690</w:t>
            </w:r>
          </w:p>
        </w:tc>
        <w:tc>
          <w:tcPr>
            <w:tcW w:type="dxa" w:w="2880"/>
          </w:tcPr>
          <w:p>
            <w:r>
              <w:t>$2,863</w:t>
            </w:r>
          </w:p>
        </w:tc>
      </w:tr>
      <w:tr>
        <w:tc>
          <w:tcPr>
            <w:tcW w:type="dxa" w:w="2880"/>
          </w:tcPr>
          <w:p>
            <w:r>
              <w:t>Image Solutions: RTP (Receive)</w:t>
            </w:r>
          </w:p>
        </w:tc>
        <w:tc>
          <w:tcPr>
            <w:tcW w:type="dxa" w:w="2880"/>
          </w:tcPr>
          <w:p>
            <w:r>
              <w:t>$801</w:t>
            </w:r>
          </w:p>
        </w:tc>
        <w:tc>
          <w:tcPr>
            <w:tcW w:type="dxa" w:w="2880"/>
          </w:tcPr>
          <w:p>
            <w:r>
              <w:t>$1,027</w:t>
            </w:r>
          </w:p>
        </w:tc>
      </w:tr>
      <w:tr>
        <w:tc>
          <w:tcPr>
            <w:tcW w:type="dxa" w:w="2880"/>
          </w:tcPr>
          <w:p>
            <w:r>
              <w:t>Item Processing: FCM, IP, Branch Capture, CCX, FXD, DLRR</w:t>
            </w:r>
          </w:p>
        </w:tc>
        <w:tc>
          <w:tcPr>
            <w:tcW w:type="dxa" w:w="2880"/>
          </w:tcPr>
          <w:p>
            <w:r>
              <w:t>$9,851</w:t>
            </w:r>
          </w:p>
        </w:tc>
        <w:tc>
          <w:tcPr>
            <w:tcW w:type="dxa" w:w="2880"/>
          </w:tcPr>
          <w:p>
            <w:r>
              <w:t>$20,268</w:t>
            </w:r>
          </w:p>
        </w:tc>
      </w:tr>
      <w:tr>
        <w:tc>
          <w:tcPr>
            <w:tcW w:type="dxa" w:w="2880"/>
          </w:tcPr>
          <w:p>
            <w:r>
              <w:t>FOS: eDelivery, Print/Render, Forms &amp; Envelopes</w:t>
            </w:r>
          </w:p>
        </w:tc>
        <w:tc>
          <w:tcPr>
            <w:tcW w:type="dxa" w:w="2880"/>
          </w:tcPr>
          <w:p>
            <w:r>
              <w:t>$1,152</w:t>
            </w:r>
          </w:p>
        </w:tc>
        <w:tc>
          <w:tcPr>
            <w:tcW w:type="dxa" w:w="2880"/>
          </w:tcPr>
          <w:p>
            <w:r>
              <w:t>$2,712</w:t>
            </w:r>
          </w:p>
        </w:tc>
      </w:tr>
      <w:tr>
        <w:tc>
          <w:tcPr>
            <w:tcW w:type="dxa" w:w="2880"/>
          </w:tcPr>
          <w:p>
            <w:r>
              <w:t>Lending: FLO</w:t>
            </w:r>
          </w:p>
        </w:tc>
        <w:tc>
          <w:tcPr>
            <w:tcW w:type="dxa" w:w="2880"/>
          </w:tcPr>
          <w:p>
            <w:r>
              <w:t>$1,104</w:t>
            </w:r>
          </w:p>
        </w:tc>
        <w:tc>
          <w:tcPr>
            <w:tcW w:type="dxa" w:w="2880"/>
          </w:tcPr>
          <w:p>
            <w:r>
              <w:t>$1,019</w:t>
            </w:r>
          </w:p>
        </w:tc>
      </w:tr>
      <w:tr>
        <w:tc>
          <w:tcPr>
            <w:tcW w:type="dxa" w:w="2880"/>
          </w:tcPr>
          <w:p>
            <w:r>
              <w:t>Lending: CRA Wiz/Fair Lending</w:t>
            </w:r>
          </w:p>
        </w:tc>
        <w:tc>
          <w:tcPr>
            <w:tcW w:type="dxa" w:w="2880"/>
          </w:tcPr>
          <w:p>
            <w:r>
              <w:t>$1,090</w:t>
            </w:r>
          </w:p>
        </w:tc>
        <w:tc>
          <w:tcPr>
            <w:tcW w:type="dxa" w:w="2880"/>
          </w:tcPr>
          <w:p>
            <w:r>
              <w:t>$1,369</w:t>
            </w:r>
          </w:p>
        </w:tc>
      </w:tr>
      <w:tr>
        <w:tc>
          <w:tcPr>
            <w:tcW w:type="dxa" w:w="2880"/>
          </w:tcPr>
          <w:p>
            <w:r>
              <w:t>Information Services: Regulatory Compliance</w:t>
            </w:r>
          </w:p>
        </w:tc>
        <w:tc>
          <w:tcPr>
            <w:tcW w:type="dxa" w:w="2880"/>
          </w:tcPr>
          <w:p>
            <w:r>
              <w:t>$5,839</w:t>
            </w:r>
          </w:p>
        </w:tc>
        <w:tc>
          <w:tcPr>
            <w:tcW w:type="dxa" w:w="2880"/>
          </w:tcPr>
          <w:p>
            <w:r>
              <w:t>$6,185</w:t>
            </w:r>
          </w:p>
        </w:tc>
      </w:tr>
      <w:tr>
        <w:tc>
          <w:tcPr>
            <w:tcW w:type="dxa" w:w="2880"/>
          </w:tcPr>
          <w:p>
            <w:r>
              <w:t>Information Services: IRS Reporting</w:t>
            </w:r>
          </w:p>
        </w:tc>
        <w:tc>
          <w:tcPr>
            <w:tcW w:type="dxa" w:w="2880"/>
          </w:tcPr>
          <w:p>
            <w:r>
              <w:t>$2,469</w:t>
            </w:r>
          </w:p>
        </w:tc>
        <w:tc>
          <w:tcPr>
            <w:tcW w:type="dxa" w:w="2880"/>
          </w:tcPr>
          <w:p>
            <w:r>
              <w:t>$2,335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Subtotal</w:t>
            </w:r>
          </w:p>
        </w:tc>
        <w:tc>
          <w:tcPr>
            <w:tcW w:type="dxa" w:w="2880"/>
          </w:tcPr>
          <w:p>
            <w:r>
              <w:t>$56,554</w:t>
            </w:r>
          </w:p>
        </w:tc>
        <w:tc>
          <w:tcPr>
            <w:tcW w:type="dxa" w:w="2880"/>
          </w:tcPr>
          <w:p>
            <w:r>
              <w:t>$105,951</w:t>
            </w:r>
          </w:p>
        </w:tc>
      </w:tr>
    </w:tbl>
    <w:p/>
    <w:p>
      <w:pPr>
        <w:pStyle w:val="Heading1"/>
      </w:pPr>
      <w:r>
        <w:t>New/Optional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One-Time Investment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IP: DirectLink Merchant (via RegO)</w:t>
            </w:r>
          </w:p>
        </w:tc>
        <w:tc>
          <w:tcPr>
            <w:tcW w:type="dxa" w:w="2160"/>
          </w:tcPr>
          <w:p>
            <w:r>
              <w:t>$27,563</w:t>
            </w:r>
          </w:p>
        </w:tc>
        <w:tc>
          <w:tcPr>
            <w:tcW w:type="dxa" w:w="2160"/>
          </w:tcPr>
          <w:p>
            <w:r>
              <w:t>$3,605.98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IP: DirectLink Consumer (via FIS)</w:t>
            </w:r>
          </w:p>
        </w:tc>
        <w:tc>
          <w:tcPr>
            <w:tcW w:type="dxa" w:w="2160"/>
          </w:tcPr>
          <w:p>
            <w:r>
              <w:t>$30,884</w:t>
            </w:r>
          </w:p>
        </w:tc>
        <w:tc>
          <w:tcPr>
            <w:tcW w:type="dxa" w:w="2160"/>
          </w:tcPr>
          <w:p>
            <w:r>
              <w:t>$1,332.98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HORIZON: Conditional Processing</w:t>
            </w:r>
          </w:p>
        </w:tc>
        <w:tc>
          <w:tcPr>
            <w:tcW w:type="dxa" w:w="2160"/>
          </w:tcPr>
          <w:p>
            <w:r>
              <w:t>$16,883</w:t>
            </w:r>
          </w:p>
        </w:tc>
        <w:tc>
          <w:tcPr>
            <w:tcW w:type="dxa" w:w="2160"/>
          </w:tcPr>
          <w:p>
            <w:r>
              <w:t>$1,257.17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Treasury: eWire (Consumer)</w:t>
            </w:r>
          </w:p>
        </w:tc>
        <w:tc>
          <w:tcPr>
            <w:tcW w:type="dxa" w:w="2160"/>
          </w:tcPr>
          <w:p>
            <w:r>
              <w:t>$1,010</w:t>
            </w:r>
          </w:p>
        </w:tc>
        <w:tc>
          <w:tcPr>
            <w:tcW w:type="dxa" w:w="2160"/>
          </w:tcPr>
          <w:p>
            <w:r>
              <w:t>$5.15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Treasury: Extended Account Analysis</w:t>
            </w:r>
          </w:p>
        </w:tc>
        <w:tc>
          <w:tcPr>
            <w:tcW w:type="dxa" w:w="2160"/>
          </w:tcPr>
          <w:p>
            <w:r>
              <w:t>$65,768</w:t>
            </w:r>
          </w:p>
        </w:tc>
        <w:tc>
          <w:tcPr>
            <w:tcW w:type="dxa" w:w="2160"/>
          </w:tcPr>
          <w:p>
            <w:r>
              <w:t>$1,088.40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RTP Send for Business</w:t>
            </w:r>
          </w:p>
        </w:tc>
        <w:tc>
          <w:tcPr>
            <w:tcW w:type="dxa" w:w="2160"/>
          </w:tcPr>
          <w:p>
            <w:r>
              <w:t>$8,735</w:t>
            </w:r>
          </w:p>
        </w:tc>
        <w:tc>
          <w:tcPr>
            <w:tcW w:type="dxa" w:w="2160"/>
          </w:tcPr>
          <w:p>
            <w:r>
              <w:t>$158.84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FedNOW (both Send/Receive)</w:t>
            </w:r>
          </w:p>
        </w:tc>
        <w:tc>
          <w:tcPr>
            <w:tcW w:type="dxa" w:w="2160"/>
          </w:tcPr>
          <w:p>
            <w:r>
              <w:t>$12,552</w:t>
            </w:r>
          </w:p>
        </w:tc>
        <w:tc>
          <w:tcPr>
            <w:tcW w:type="dxa" w:w="2160"/>
          </w:tcPr>
          <w:p>
            <w:r>
              <w:t>$3,632.01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Image Solutions: Chargeback Manager</w:t>
            </w:r>
          </w:p>
        </w:tc>
        <w:tc>
          <w:tcPr>
            <w:tcW w:type="dxa" w:w="2160"/>
          </w:tcPr>
          <w:p>
            <w:r>
              <w:t>$6,967</w:t>
            </w:r>
          </w:p>
        </w:tc>
        <w:tc>
          <w:tcPr>
            <w:tcW w:type="dxa" w:w="2160"/>
          </w:tcPr>
          <w:p>
            <w:r>
              <w:t>$284.00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</w:tbl>
    <w:p/>
    <w:p>
      <w:pPr>
        <w:pStyle w:val="Heading1"/>
      </w:pPr>
      <w:r>
        <w:t>Capped Exit and Acquisition Fees</w:t>
      </w:r>
    </w:p>
    <w:p>
      <w:r>
        <w:t>In the event your bank decides to leave FIS, for any reason, prior to your contract expiration date; FIS will cap your bank's liquidated damages (LDs).</w:t>
      </w:r>
    </w:p>
    <w:p>
      <w:r>
        <w:t>FIS will agree to cap your bank's deconversion fees, as follows:</w:t>
      </w:r>
    </w:p>
    <w:p>
      <w:r>
        <w:t>• Under $1B ($300,000 fee)</w:t>
      </w:r>
    </w:p>
    <w:p>
      <w:r>
        <w:t>• Over $1B (custom quote required)</w:t>
      </w:r>
    </w:p>
    <w:p/>
    <w:p>
      <w:r>
        <w:t>Please note, this does not include any third-party fees or image conversion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