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Southwest Regional Bank</w:t>
      </w:r>
    </w:p>
    <w:p>
      <w:pPr>
        <w:jc w:val="center"/>
      </w:pPr>
      <w:r>
        <w:t>Houston, Texas</w:t>
      </w:r>
    </w:p>
    <w:p/>
    <w:p>
      <w:pPr>
        <w:jc w:val="center"/>
      </w:pPr>
      <w:r>
        <w:rPr>
          <w:b/>
          <w:sz w:val="32"/>
        </w:rPr>
        <w:t>FIS Investment Summary</w:t>
      </w:r>
    </w:p>
    <w:p>
      <w:pPr>
        <w:jc w:val="center"/>
      </w:pPr>
      <w:r>
        <w:t>Renewal w/ Acquisition</w:t>
      </w:r>
    </w:p>
    <w:p/>
    <w:p>
      <w:pPr>
        <w:jc w:val="center"/>
      </w:pPr>
      <w:r>
        <w:t>January 2025 (presented to Arriba Advisors)</w:t>
      </w:r>
    </w:p>
    <w:p/>
    <w:p>
      <w:r>
        <w:t>We are honored to be your bank's technology partner.</w:t>
      </w:r>
    </w:p>
    <w:p>
      <w:r>
        <w:t>As you review our FIS Investment Summary, please note that we have tried to make this easy, while trying to be excellent partners, in terms of pricing.</w:t>
      </w:r>
    </w:p>
    <w:p/>
    <w:p>
      <w:r>
        <w:t>Below are specific details of our proposal:</w:t>
      </w:r>
    </w:p>
    <w:p/>
    <w:p>
      <w:pPr>
        <w:pStyle w:val="Heading1"/>
      </w:pPr>
      <w:r>
        <w:t>Financials</w:t>
      </w:r>
    </w:p>
    <w:p>
      <w:r>
        <w:t>If FIS contract renewal and Statement of Work (SOW) are both signed by March 31, 2025, FIS is pleased to offer the following:</w:t>
      </w:r>
    </w:p>
    <w:p/>
    <w:p>
      <w:r>
        <w:t>• $1,145,301 exit fee assistance credit</w:t>
      </w:r>
    </w:p>
    <w:p>
      <w:r>
        <w:t>• $376,310 conversion cost credit</w:t>
      </w:r>
    </w:p>
    <w:p>
      <w:r>
        <w:t>• $200,062 contract renewal credit</w:t>
      </w:r>
    </w:p>
    <w:p>
      <w:r>
        <w:t>• $49,006 monthly relationship credit for term of contract</w:t>
      </w:r>
    </w:p>
    <w:p>
      <w:r>
        <w:t>• $65,501 one-time service investment credit</w:t>
      </w:r>
    </w:p>
    <w:p/>
    <w:p>
      <w:pPr>
        <w:pStyle w:val="Heading1"/>
      </w:pPr>
      <w:r>
        <w:t>Term</w:t>
      </w:r>
    </w:p>
    <w:p>
      <w:r>
        <w:t>Term of this agreement will be 7 (7) years. All solutions will be coterminous, all pricing reflects HORIZON core contract term.</w:t>
      </w:r>
    </w:p>
    <w:p/>
    <w:p>
      <w:pPr>
        <w:pStyle w:val="Heading1"/>
      </w:pPr>
      <w:r>
        <w:t>Current Monthly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Pricing</w:t>
              <w:br/>
              <w:t>(as of April 2024)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Pricing</w:t>
              <w:br/>
              <w:t>(Combined Organization)</w:t>
            </w:r>
          </w:p>
        </w:tc>
      </w:tr>
      <w:tr>
        <w:tc>
          <w:tcPr>
            <w:tcW w:type="dxa" w:w="2880"/>
          </w:tcPr>
          <w:p>
            <w:r>
              <w:t>Core: HORIZON</w:t>
            </w:r>
          </w:p>
        </w:tc>
        <w:tc>
          <w:tcPr>
            <w:tcW w:type="dxa" w:w="2880"/>
          </w:tcPr>
          <w:p>
            <w:r>
              <w:t>$17,725</w:t>
            </w:r>
          </w:p>
        </w:tc>
        <w:tc>
          <w:tcPr>
            <w:tcW w:type="dxa" w:w="2880"/>
          </w:tcPr>
          <w:p>
            <w:r>
              <w:t>$26,122</w:t>
            </w:r>
          </w:p>
        </w:tc>
      </w:tr>
      <w:tr>
        <w:tc>
          <w:tcPr>
            <w:tcW w:type="dxa" w:w="2880"/>
          </w:tcPr>
          <w:p>
            <w:r>
              <w:t>Digital: D1 Flex, D1 Business, Mobile, Bill Pay</w:t>
            </w:r>
          </w:p>
        </w:tc>
        <w:tc>
          <w:tcPr>
            <w:tcW w:type="dxa" w:w="2880"/>
          </w:tcPr>
          <w:p>
            <w:r>
              <w:t>$19,972</w:t>
            </w:r>
          </w:p>
        </w:tc>
        <w:tc>
          <w:tcPr>
            <w:tcW w:type="dxa" w:w="2880"/>
          </w:tcPr>
          <w:p>
            <w:r>
              <w:t>$51,412</w:t>
            </w:r>
          </w:p>
        </w:tc>
      </w:tr>
      <w:tr>
        <w:tc>
          <w:tcPr>
            <w:tcW w:type="dxa" w:w="2880"/>
          </w:tcPr>
          <w:p>
            <w:r>
              <w:t>Digital: Website Services</w:t>
            </w:r>
          </w:p>
        </w:tc>
        <w:tc>
          <w:tcPr>
            <w:tcW w:type="dxa" w:w="2880"/>
          </w:tcPr>
          <w:p>
            <w:r>
              <w:t>$821</w:t>
            </w:r>
          </w:p>
        </w:tc>
        <w:tc>
          <w:tcPr>
            <w:tcW w:type="dxa" w:w="2880"/>
          </w:tcPr>
          <w:p>
            <w:r>
              <w:t>$712</w:t>
            </w:r>
          </w:p>
        </w:tc>
      </w:tr>
      <w:tr>
        <w:tc>
          <w:tcPr>
            <w:tcW w:type="dxa" w:w="2880"/>
          </w:tcPr>
          <w:p>
            <w:r>
              <w:t>Digital: Zelle</w:t>
            </w:r>
          </w:p>
        </w:tc>
        <w:tc>
          <w:tcPr>
            <w:tcW w:type="dxa" w:w="2880"/>
          </w:tcPr>
          <w:p>
            <w:r>
              <w:t>$968</w:t>
            </w:r>
          </w:p>
        </w:tc>
        <w:tc>
          <w:tcPr>
            <w:tcW w:type="dxa" w:w="2880"/>
          </w:tcPr>
          <w:p>
            <w:r>
              <w:t>$908</w:t>
            </w:r>
          </w:p>
        </w:tc>
      </w:tr>
      <w:tr>
        <w:tc>
          <w:tcPr>
            <w:tcW w:type="dxa" w:w="2880"/>
          </w:tcPr>
          <w:p>
            <w:r>
              <w:t>EFT: EFT Norcross, 3D Secure, Tokenization, SecurLOCK</w:t>
            </w:r>
          </w:p>
        </w:tc>
        <w:tc>
          <w:tcPr>
            <w:tcW w:type="dxa" w:w="2880"/>
          </w:tcPr>
          <w:p>
            <w:r>
              <w:t>$2,634</w:t>
            </w:r>
          </w:p>
        </w:tc>
        <w:tc>
          <w:tcPr>
            <w:tcW w:type="dxa" w:w="2880"/>
          </w:tcPr>
          <w:p>
            <w:r>
              <w:t>$9,430</w:t>
            </w:r>
          </w:p>
        </w:tc>
      </w:tr>
      <w:tr>
        <w:tc>
          <w:tcPr>
            <w:tcW w:type="dxa" w:w="2880"/>
          </w:tcPr>
          <w:p>
            <w:r>
              <w:t>Risk, Fraud &amp; Compliance: Decision Solutions</w:t>
            </w:r>
          </w:p>
        </w:tc>
        <w:tc>
          <w:tcPr>
            <w:tcW w:type="dxa" w:w="2880"/>
          </w:tcPr>
          <w:p>
            <w:r>
              <w:t>$956</w:t>
            </w:r>
          </w:p>
        </w:tc>
        <w:tc>
          <w:tcPr>
            <w:tcW w:type="dxa" w:w="2880"/>
          </w:tcPr>
          <w:p>
            <w:r>
              <w:t>$1,065</w:t>
            </w:r>
          </w:p>
        </w:tc>
      </w:tr>
      <w:tr>
        <w:tc>
          <w:tcPr>
            <w:tcW w:type="dxa" w:w="2880"/>
          </w:tcPr>
          <w:p>
            <w:r>
              <w:t>Treasury: eWire (Business)</w:t>
            </w:r>
          </w:p>
        </w:tc>
        <w:tc>
          <w:tcPr>
            <w:tcW w:type="dxa" w:w="2880"/>
          </w:tcPr>
          <w:p>
            <w:r>
              <w:t>$2,854</w:t>
            </w:r>
          </w:p>
        </w:tc>
        <w:tc>
          <w:tcPr>
            <w:tcW w:type="dxa" w:w="2880"/>
          </w:tcPr>
          <w:p>
            <w:r>
              <w:t>$3,764</w:t>
            </w:r>
          </w:p>
        </w:tc>
      </w:tr>
      <w:tr>
        <w:tc>
          <w:tcPr>
            <w:tcW w:type="dxa" w:w="2880"/>
          </w:tcPr>
          <w:p>
            <w:r>
              <w:t>Image Solutions: RTP (Receive)</w:t>
            </w:r>
          </w:p>
        </w:tc>
        <w:tc>
          <w:tcPr>
            <w:tcW w:type="dxa" w:w="2880"/>
          </w:tcPr>
          <w:p>
            <w:r>
              <w:t>$1,333</w:t>
            </w:r>
          </w:p>
        </w:tc>
        <w:tc>
          <w:tcPr>
            <w:tcW w:type="dxa" w:w="2880"/>
          </w:tcPr>
          <w:p>
            <w:r>
              <w:t>$1,316</w:t>
            </w:r>
          </w:p>
        </w:tc>
      </w:tr>
      <w:tr>
        <w:tc>
          <w:tcPr>
            <w:tcW w:type="dxa" w:w="2880"/>
          </w:tcPr>
          <w:p>
            <w:r>
              <w:t>Item Processing: FCM, IP, Branch Capture, CCX, FXD, DLRR</w:t>
            </w:r>
          </w:p>
        </w:tc>
        <w:tc>
          <w:tcPr>
            <w:tcW w:type="dxa" w:w="2880"/>
          </w:tcPr>
          <w:p>
            <w:r>
              <w:t>$11,151</w:t>
            </w:r>
          </w:p>
        </w:tc>
        <w:tc>
          <w:tcPr>
            <w:tcW w:type="dxa" w:w="2880"/>
          </w:tcPr>
          <w:p>
            <w:r>
              <w:t>$23,501</w:t>
            </w:r>
          </w:p>
        </w:tc>
      </w:tr>
      <w:tr>
        <w:tc>
          <w:tcPr>
            <w:tcW w:type="dxa" w:w="2880"/>
          </w:tcPr>
          <w:p>
            <w:r>
              <w:t>FOS: eDelivery, Print/Render, Forms &amp; Envelopes</w:t>
            </w:r>
          </w:p>
        </w:tc>
        <w:tc>
          <w:tcPr>
            <w:tcW w:type="dxa" w:w="2880"/>
          </w:tcPr>
          <w:p>
            <w:r>
              <w:t>$1,821</w:t>
            </w:r>
          </w:p>
        </w:tc>
        <w:tc>
          <w:tcPr>
            <w:tcW w:type="dxa" w:w="2880"/>
          </w:tcPr>
          <w:p>
            <w:r>
              <w:t>$3,442</w:t>
            </w:r>
          </w:p>
        </w:tc>
      </w:tr>
      <w:tr>
        <w:tc>
          <w:tcPr>
            <w:tcW w:type="dxa" w:w="2880"/>
          </w:tcPr>
          <w:p>
            <w:r>
              <w:t>Lending: FLO</w:t>
            </w:r>
          </w:p>
        </w:tc>
        <w:tc>
          <w:tcPr>
            <w:tcW w:type="dxa" w:w="2880"/>
          </w:tcPr>
          <w:p>
            <w:r>
              <w:t>$1,293</w:t>
            </w:r>
          </w:p>
        </w:tc>
        <w:tc>
          <w:tcPr>
            <w:tcW w:type="dxa" w:w="2880"/>
          </w:tcPr>
          <w:p>
            <w:r>
              <w:t>$1,471</w:t>
            </w:r>
          </w:p>
        </w:tc>
      </w:tr>
      <w:tr>
        <w:tc>
          <w:tcPr>
            <w:tcW w:type="dxa" w:w="2880"/>
          </w:tcPr>
          <w:p>
            <w:r>
              <w:t>Lending: CRA Wiz/Fair Lending</w:t>
            </w:r>
          </w:p>
        </w:tc>
        <w:tc>
          <w:tcPr>
            <w:tcW w:type="dxa" w:w="2880"/>
          </w:tcPr>
          <w:p>
            <w:r>
              <w:t>$1,374</w:t>
            </w:r>
          </w:p>
        </w:tc>
        <w:tc>
          <w:tcPr>
            <w:tcW w:type="dxa" w:w="2880"/>
          </w:tcPr>
          <w:p>
            <w:r>
              <w:t>$1,701</w:t>
            </w:r>
          </w:p>
        </w:tc>
      </w:tr>
      <w:tr>
        <w:tc>
          <w:tcPr>
            <w:tcW w:type="dxa" w:w="2880"/>
          </w:tcPr>
          <w:p>
            <w:r>
              <w:t>Information Services: Regulatory Compliance</w:t>
            </w:r>
          </w:p>
        </w:tc>
        <w:tc>
          <w:tcPr>
            <w:tcW w:type="dxa" w:w="2880"/>
          </w:tcPr>
          <w:p>
            <w:r>
              <w:t>$7,782</w:t>
            </w:r>
          </w:p>
        </w:tc>
        <w:tc>
          <w:tcPr>
            <w:tcW w:type="dxa" w:w="2880"/>
          </w:tcPr>
          <w:p>
            <w:r>
              <w:t>$6,404</w:t>
            </w:r>
          </w:p>
        </w:tc>
      </w:tr>
      <w:tr>
        <w:tc>
          <w:tcPr>
            <w:tcW w:type="dxa" w:w="2880"/>
          </w:tcPr>
          <w:p>
            <w:r>
              <w:t>Information Services: IRS Reporting</w:t>
            </w:r>
          </w:p>
        </w:tc>
        <w:tc>
          <w:tcPr>
            <w:tcW w:type="dxa" w:w="2880"/>
          </w:tcPr>
          <w:p>
            <w:r>
              <w:t>$2,918</w:t>
            </w:r>
          </w:p>
        </w:tc>
        <w:tc>
          <w:tcPr>
            <w:tcW w:type="dxa" w:w="2880"/>
          </w:tcPr>
          <w:p>
            <w:r>
              <w:t>$2,984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Subtotal</w:t>
            </w:r>
          </w:p>
        </w:tc>
        <w:tc>
          <w:tcPr>
            <w:tcW w:type="dxa" w:w="2880"/>
          </w:tcPr>
          <w:p>
            <w:r>
              <w:t>$73,602</w:t>
            </w:r>
          </w:p>
        </w:tc>
        <w:tc>
          <w:tcPr>
            <w:tcW w:type="dxa" w:w="2880"/>
          </w:tcPr>
          <w:p>
            <w:r>
              <w:t>$134,232</w:t>
            </w:r>
          </w:p>
        </w:tc>
      </w:tr>
    </w:tbl>
    <w:p/>
    <w:p>
      <w:pPr>
        <w:pStyle w:val="Heading1"/>
      </w:pPr>
      <w:r>
        <w:t>New/Optional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One-Time Investment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IP: DirectLink Merchant (via RegO)</w:t>
            </w:r>
          </w:p>
        </w:tc>
        <w:tc>
          <w:tcPr>
            <w:tcW w:type="dxa" w:w="2160"/>
          </w:tcPr>
          <w:p>
            <w:r>
              <w:t>$28,555</w:t>
            </w:r>
          </w:p>
        </w:tc>
        <w:tc>
          <w:tcPr>
            <w:tcW w:type="dxa" w:w="2160"/>
          </w:tcPr>
          <w:p>
            <w:r>
              <w:t>$5,295.17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IP: DirectLink Consumer (via FIS)</w:t>
            </w:r>
          </w:p>
        </w:tc>
        <w:tc>
          <w:tcPr>
            <w:tcW w:type="dxa" w:w="2160"/>
          </w:tcPr>
          <w:p>
            <w:r>
              <w:t>$32,679</w:t>
            </w:r>
          </w:p>
        </w:tc>
        <w:tc>
          <w:tcPr>
            <w:tcW w:type="dxa" w:w="2160"/>
          </w:tcPr>
          <w:p>
            <w:r>
              <w:t>$1,657.58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HORIZON: Conditional Processing</w:t>
            </w:r>
          </w:p>
        </w:tc>
        <w:tc>
          <w:tcPr>
            <w:tcW w:type="dxa" w:w="2160"/>
          </w:tcPr>
          <w:p>
            <w:r>
              <w:t>$19,117</w:t>
            </w:r>
          </w:p>
        </w:tc>
        <w:tc>
          <w:tcPr>
            <w:tcW w:type="dxa" w:w="2160"/>
          </w:tcPr>
          <w:p>
            <w:r>
              <w:t>$1,422.37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Treasury: eWire (Consumer)</w:t>
            </w:r>
          </w:p>
        </w:tc>
        <w:tc>
          <w:tcPr>
            <w:tcW w:type="dxa" w:w="2160"/>
          </w:tcPr>
          <w:p>
            <w:r>
              <w:t>$1,463</w:t>
            </w:r>
          </w:p>
        </w:tc>
        <w:tc>
          <w:tcPr>
            <w:tcW w:type="dxa" w:w="2160"/>
          </w:tcPr>
          <w:p>
            <w:r>
              <w:t>$6.87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Treasury: Extended Account Analysis</w:t>
            </w:r>
          </w:p>
        </w:tc>
        <w:tc>
          <w:tcPr>
            <w:tcW w:type="dxa" w:w="2160"/>
          </w:tcPr>
          <w:p>
            <w:r>
              <w:t>$80,653</w:t>
            </w:r>
          </w:p>
        </w:tc>
        <w:tc>
          <w:tcPr>
            <w:tcW w:type="dxa" w:w="2160"/>
          </w:tcPr>
          <w:p>
            <w:r>
              <w:t>$1,443.64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RTP Send for Business</w:t>
            </w:r>
          </w:p>
        </w:tc>
        <w:tc>
          <w:tcPr>
            <w:tcW w:type="dxa" w:w="2160"/>
          </w:tcPr>
          <w:p>
            <w:r>
              <w:t>$10,965</w:t>
            </w:r>
          </w:p>
        </w:tc>
        <w:tc>
          <w:tcPr>
            <w:tcW w:type="dxa" w:w="2160"/>
          </w:tcPr>
          <w:p>
            <w:r>
              <w:t>$193.64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FedNOW (both Send/Receive)</w:t>
            </w:r>
          </w:p>
        </w:tc>
        <w:tc>
          <w:tcPr>
            <w:tcW w:type="dxa" w:w="2160"/>
          </w:tcPr>
          <w:p>
            <w:r>
              <w:t>$15,248</w:t>
            </w:r>
          </w:p>
        </w:tc>
        <w:tc>
          <w:tcPr>
            <w:tcW w:type="dxa" w:w="2160"/>
          </w:tcPr>
          <w:p>
            <w:r>
              <w:t>$5,165.47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Chargeback Manager</w:t>
            </w:r>
          </w:p>
        </w:tc>
        <w:tc>
          <w:tcPr>
            <w:tcW w:type="dxa" w:w="2160"/>
          </w:tcPr>
          <w:p>
            <w:r>
              <w:t>$9,522</w:t>
            </w:r>
          </w:p>
        </w:tc>
        <w:tc>
          <w:tcPr>
            <w:tcW w:type="dxa" w:w="2160"/>
          </w:tcPr>
          <w:p>
            <w:r>
              <w:t>$387.76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</w:tbl>
    <w:p/>
    <w:p>
      <w:pPr>
        <w:pStyle w:val="Heading1"/>
      </w:pPr>
      <w:r>
        <w:t>Capped Exit and Acquisition Fees</w:t>
      </w:r>
    </w:p>
    <w:p>
      <w:r>
        <w:t>In the event your bank decides to leave FIS, for any reason, prior to your contract expiration date; FIS will cap your bank's liquidated damages (LDs).</w:t>
      </w:r>
    </w:p>
    <w:p>
      <w:r>
        <w:t>FIS will agree to cap your bank's deconversion fees, as follows:</w:t>
      </w:r>
    </w:p>
    <w:p>
      <w:r>
        <w:t>• Under $1B ($300,000 fee)</w:t>
      </w:r>
    </w:p>
    <w:p>
      <w:r>
        <w:t>• Over $1B (custom quote required)</w:t>
      </w:r>
    </w:p>
    <w:p/>
    <w:p>
      <w:r>
        <w:t>Please note, this does not include any third-party fees or image conversion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