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Lone Star National Bank</w:t>
      </w:r>
    </w:p>
    <w:p>
      <w:pPr>
        <w:jc w:val="center"/>
      </w:pPr>
      <w:r>
        <w:t>Fort Worth, Texas</w:t>
      </w:r>
    </w:p>
    <w:p/>
    <w:p>
      <w:pPr>
        <w:jc w:val="center"/>
      </w:pPr>
      <w:r>
        <w:rPr>
          <w:b/>
          <w:sz w:val="32"/>
        </w:rPr>
        <w:t>FIS Investment Summary</w:t>
      </w:r>
    </w:p>
    <w:p>
      <w:pPr>
        <w:jc w:val="center"/>
      </w:pPr>
      <w:r>
        <w:t>Renewal w/ Acquisition</w:t>
      </w:r>
    </w:p>
    <w:p/>
    <w:p>
      <w:pPr>
        <w:jc w:val="center"/>
      </w:pPr>
      <w:r>
        <w:t>January 2025 (presented to Arriba Advisors)</w:t>
      </w:r>
    </w:p>
    <w:p/>
    <w:p>
      <w:r>
        <w:t>We are honored to be your bank's technology partner.</w:t>
      </w:r>
    </w:p>
    <w:p>
      <w:r>
        <w:t>As you review our FIS Investment Summary, please note that we have tried to make this easy, while trying to be excellent partners, in terms of pricing.</w:t>
      </w:r>
    </w:p>
    <w:p/>
    <w:p>
      <w:r>
        <w:t>Below are specific details of our proposal:</w:t>
      </w:r>
    </w:p>
    <w:p/>
    <w:p>
      <w:pPr>
        <w:pStyle w:val="Heading1"/>
      </w:pPr>
      <w:r>
        <w:t>Financials</w:t>
      </w:r>
    </w:p>
    <w:p>
      <w:r>
        <w:t>If FIS contract renewal and Statement of Work (SOW) are both signed by March 31, 2025, FIS is pleased to offer the following:</w:t>
      </w:r>
    </w:p>
    <w:p/>
    <w:p>
      <w:r>
        <w:t>• $698,220 exit fee assistance credit</w:t>
      </w:r>
    </w:p>
    <w:p>
      <w:r>
        <w:t>• $239,835 conversion cost credit</w:t>
      </w:r>
    </w:p>
    <w:p>
      <w:r>
        <w:t>• $164,061 contract renewal credit</w:t>
      </w:r>
    </w:p>
    <w:p>
      <w:r>
        <w:t>• $35,554 monthly relationship credit for term of contract</w:t>
      </w:r>
    </w:p>
    <w:p>
      <w:r>
        <w:t>• $50,422 one-time service investment credit</w:t>
      </w:r>
    </w:p>
    <w:p/>
    <w:p>
      <w:pPr>
        <w:pStyle w:val="Heading1"/>
      </w:pPr>
      <w:r>
        <w:t>Term</w:t>
      </w:r>
    </w:p>
    <w:p>
      <w:r>
        <w:t>Term of this agreement will be 7 (7) years. All solutions will be coterminous, all pricing reflects HORIZON core contract term.</w:t>
      </w:r>
    </w:p>
    <w:p/>
    <w:p>
      <w:pPr>
        <w:pStyle w:val="Heading1"/>
      </w:pPr>
      <w:r>
        <w:t>Current Monthly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Pricing</w:t>
              <w:br/>
              <w:t>(as of April 2024)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New Pricing</w:t>
              <w:br/>
              <w:t>(Combined Organization)</w:t>
            </w:r>
          </w:p>
        </w:tc>
      </w:tr>
      <w:tr>
        <w:tc>
          <w:tcPr>
            <w:tcW w:type="dxa" w:w="2880"/>
          </w:tcPr>
          <w:p>
            <w:r>
              <w:t>Core: HORIZON</w:t>
            </w:r>
          </w:p>
        </w:tc>
        <w:tc>
          <w:tcPr>
            <w:tcW w:type="dxa" w:w="2880"/>
          </w:tcPr>
          <w:p>
            <w:r>
              <w:t>$12,104</w:t>
            </w:r>
          </w:p>
        </w:tc>
        <w:tc>
          <w:tcPr>
            <w:tcW w:type="dxa" w:w="2880"/>
          </w:tcPr>
          <w:p>
            <w:r>
              <w:t>$14,561</w:t>
            </w:r>
          </w:p>
        </w:tc>
      </w:tr>
      <w:tr>
        <w:tc>
          <w:tcPr>
            <w:tcW w:type="dxa" w:w="2880"/>
          </w:tcPr>
          <w:p>
            <w:r>
              <w:t>Digital: D1 Flex, D1 Business, Mobile, Bill Pay</w:t>
            </w:r>
          </w:p>
        </w:tc>
        <w:tc>
          <w:tcPr>
            <w:tcW w:type="dxa" w:w="2880"/>
          </w:tcPr>
          <w:p>
            <w:r>
              <w:t>$15,567</w:t>
            </w:r>
          </w:p>
        </w:tc>
        <w:tc>
          <w:tcPr>
            <w:tcW w:type="dxa" w:w="2880"/>
          </w:tcPr>
          <w:p>
            <w:r>
              <w:t>$35,283</w:t>
            </w:r>
          </w:p>
        </w:tc>
      </w:tr>
      <w:tr>
        <w:tc>
          <w:tcPr>
            <w:tcW w:type="dxa" w:w="2880"/>
          </w:tcPr>
          <w:p>
            <w:r>
              <w:t>Digital: Website Services</w:t>
            </w:r>
          </w:p>
        </w:tc>
        <w:tc>
          <w:tcPr>
            <w:tcW w:type="dxa" w:w="2880"/>
          </w:tcPr>
          <w:p>
            <w:r>
              <w:t>$628</w:t>
            </w:r>
          </w:p>
        </w:tc>
        <w:tc>
          <w:tcPr>
            <w:tcW w:type="dxa" w:w="2880"/>
          </w:tcPr>
          <w:p>
            <w:r>
              <w:t>$510</w:t>
            </w:r>
          </w:p>
        </w:tc>
      </w:tr>
      <w:tr>
        <w:tc>
          <w:tcPr>
            <w:tcW w:type="dxa" w:w="2880"/>
          </w:tcPr>
          <w:p>
            <w:r>
              <w:t>Digital: Zelle</w:t>
            </w:r>
          </w:p>
        </w:tc>
        <w:tc>
          <w:tcPr>
            <w:tcW w:type="dxa" w:w="2880"/>
          </w:tcPr>
          <w:p>
            <w:r>
              <w:t>$730</w:t>
            </w:r>
          </w:p>
        </w:tc>
        <w:tc>
          <w:tcPr>
            <w:tcW w:type="dxa" w:w="2880"/>
          </w:tcPr>
          <w:p>
            <w:r>
              <w:t>$560</w:t>
            </w:r>
          </w:p>
        </w:tc>
      </w:tr>
      <w:tr>
        <w:tc>
          <w:tcPr>
            <w:tcW w:type="dxa" w:w="2880"/>
          </w:tcPr>
          <w:p>
            <w:r>
              <w:t>EFT: EFT Norcross, 3D Secure, Tokenization, SecurLOCK</w:t>
            </w:r>
          </w:p>
        </w:tc>
        <w:tc>
          <w:tcPr>
            <w:tcW w:type="dxa" w:w="2880"/>
          </w:tcPr>
          <w:p>
            <w:r>
              <w:t>$1,572</w:t>
            </w:r>
          </w:p>
        </w:tc>
        <w:tc>
          <w:tcPr>
            <w:tcW w:type="dxa" w:w="2880"/>
          </w:tcPr>
          <w:p>
            <w:r>
              <w:t>$6,865</w:t>
            </w:r>
          </w:p>
        </w:tc>
      </w:tr>
      <w:tr>
        <w:tc>
          <w:tcPr>
            <w:tcW w:type="dxa" w:w="2880"/>
          </w:tcPr>
          <w:p>
            <w:r>
              <w:t>Risk, Fraud &amp; Compliance: Decision Solutions</w:t>
            </w:r>
          </w:p>
        </w:tc>
        <w:tc>
          <w:tcPr>
            <w:tcW w:type="dxa" w:w="2880"/>
          </w:tcPr>
          <w:p>
            <w:r>
              <w:t>$845</w:t>
            </w:r>
          </w:p>
        </w:tc>
        <w:tc>
          <w:tcPr>
            <w:tcW w:type="dxa" w:w="2880"/>
          </w:tcPr>
          <w:p>
            <w:r>
              <w:t>$739</w:t>
            </w:r>
          </w:p>
        </w:tc>
      </w:tr>
      <w:tr>
        <w:tc>
          <w:tcPr>
            <w:tcW w:type="dxa" w:w="2880"/>
          </w:tcPr>
          <w:p>
            <w:r>
              <w:t>Treasury: eWire (Business)</w:t>
            </w:r>
          </w:p>
        </w:tc>
        <w:tc>
          <w:tcPr>
            <w:tcW w:type="dxa" w:w="2880"/>
          </w:tcPr>
          <w:p>
            <w:r>
              <w:t>$2,110</w:t>
            </w:r>
          </w:p>
        </w:tc>
        <w:tc>
          <w:tcPr>
            <w:tcW w:type="dxa" w:w="2880"/>
          </w:tcPr>
          <w:p>
            <w:r>
              <w:t>$2,661</w:t>
            </w:r>
          </w:p>
        </w:tc>
      </w:tr>
      <w:tr>
        <w:tc>
          <w:tcPr>
            <w:tcW w:type="dxa" w:w="2880"/>
          </w:tcPr>
          <w:p>
            <w:r>
              <w:t>Image Solutions: RTP (Receive)</w:t>
            </w:r>
          </w:p>
        </w:tc>
        <w:tc>
          <w:tcPr>
            <w:tcW w:type="dxa" w:w="2880"/>
          </w:tcPr>
          <w:p>
            <w:r>
              <w:t>$790</w:t>
            </w:r>
          </w:p>
        </w:tc>
        <w:tc>
          <w:tcPr>
            <w:tcW w:type="dxa" w:w="2880"/>
          </w:tcPr>
          <w:p>
            <w:r>
              <w:t>$879</w:t>
            </w:r>
          </w:p>
        </w:tc>
      </w:tr>
      <w:tr>
        <w:tc>
          <w:tcPr>
            <w:tcW w:type="dxa" w:w="2880"/>
          </w:tcPr>
          <w:p>
            <w:r>
              <w:t>Item Processing: FCM, IP, Branch Capture, CCX, FXD, DLRR</w:t>
            </w:r>
          </w:p>
        </w:tc>
        <w:tc>
          <w:tcPr>
            <w:tcW w:type="dxa" w:w="2880"/>
          </w:tcPr>
          <w:p>
            <w:r>
              <w:t>$8,756</w:t>
            </w:r>
          </w:p>
        </w:tc>
        <w:tc>
          <w:tcPr>
            <w:tcW w:type="dxa" w:w="2880"/>
          </w:tcPr>
          <w:p>
            <w:r>
              <w:t>$18,884</w:t>
            </w:r>
          </w:p>
        </w:tc>
      </w:tr>
      <w:tr>
        <w:tc>
          <w:tcPr>
            <w:tcW w:type="dxa" w:w="2880"/>
          </w:tcPr>
          <w:p>
            <w:r>
              <w:t>FOS: eDelivery, Print/Render, Forms &amp; Envelopes</w:t>
            </w:r>
          </w:p>
        </w:tc>
        <w:tc>
          <w:tcPr>
            <w:tcW w:type="dxa" w:w="2880"/>
          </w:tcPr>
          <w:p>
            <w:r>
              <w:t>$1,197</w:t>
            </w:r>
          </w:p>
        </w:tc>
        <w:tc>
          <w:tcPr>
            <w:tcW w:type="dxa" w:w="2880"/>
          </w:tcPr>
          <w:p>
            <w:r>
              <w:t>$2,183</w:t>
            </w:r>
          </w:p>
        </w:tc>
      </w:tr>
      <w:tr>
        <w:tc>
          <w:tcPr>
            <w:tcW w:type="dxa" w:w="2880"/>
          </w:tcPr>
          <w:p>
            <w:r>
              <w:t>Lending: FLO</w:t>
            </w:r>
          </w:p>
        </w:tc>
        <w:tc>
          <w:tcPr>
            <w:tcW w:type="dxa" w:w="2880"/>
          </w:tcPr>
          <w:p>
            <w:r>
              <w:t>$1,193</w:t>
            </w:r>
          </w:p>
        </w:tc>
        <w:tc>
          <w:tcPr>
            <w:tcW w:type="dxa" w:w="2880"/>
          </w:tcPr>
          <w:p>
            <w:r>
              <w:t>$961</w:t>
            </w:r>
          </w:p>
        </w:tc>
      </w:tr>
      <w:tr>
        <w:tc>
          <w:tcPr>
            <w:tcW w:type="dxa" w:w="2880"/>
          </w:tcPr>
          <w:p>
            <w:r>
              <w:t>Lending: CRA Wiz/Fair Lending</w:t>
            </w:r>
          </w:p>
        </w:tc>
        <w:tc>
          <w:tcPr>
            <w:tcW w:type="dxa" w:w="2880"/>
          </w:tcPr>
          <w:p>
            <w:r>
              <w:t>$1,200</w:t>
            </w:r>
          </w:p>
        </w:tc>
        <w:tc>
          <w:tcPr>
            <w:tcW w:type="dxa" w:w="2880"/>
          </w:tcPr>
          <w:p>
            <w:r>
              <w:t>$1,039</w:t>
            </w:r>
          </w:p>
        </w:tc>
      </w:tr>
      <w:tr>
        <w:tc>
          <w:tcPr>
            <w:tcW w:type="dxa" w:w="2880"/>
          </w:tcPr>
          <w:p>
            <w:r>
              <w:t>Information Services: Regulatory Compliance</w:t>
            </w:r>
          </w:p>
        </w:tc>
        <w:tc>
          <w:tcPr>
            <w:tcW w:type="dxa" w:w="2880"/>
          </w:tcPr>
          <w:p>
            <w:r>
              <w:t>$4,987</w:t>
            </w:r>
          </w:p>
        </w:tc>
        <w:tc>
          <w:tcPr>
            <w:tcW w:type="dxa" w:w="2880"/>
          </w:tcPr>
          <w:p>
            <w:r>
              <w:t>$5,413</w:t>
            </w:r>
          </w:p>
        </w:tc>
      </w:tr>
      <w:tr>
        <w:tc>
          <w:tcPr>
            <w:tcW w:type="dxa" w:w="2880"/>
          </w:tcPr>
          <w:p>
            <w:r>
              <w:t>Information Services: IRS Reporting</w:t>
            </w:r>
          </w:p>
        </w:tc>
        <w:tc>
          <w:tcPr>
            <w:tcW w:type="dxa" w:w="2880"/>
          </w:tcPr>
          <w:p>
            <w:r>
              <w:t>$1,974</w:t>
            </w:r>
          </w:p>
        </w:tc>
        <w:tc>
          <w:tcPr>
            <w:tcW w:type="dxa" w:w="2880"/>
          </w:tcPr>
          <w:p>
            <w:r>
              <w:t>$1,984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Monthly Subtotal</w:t>
            </w:r>
          </w:p>
        </w:tc>
        <w:tc>
          <w:tcPr>
            <w:tcW w:type="dxa" w:w="2880"/>
          </w:tcPr>
          <w:p>
            <w:r>
              <w:t>$53,654</w:t>
            </w:r>
          </w:p>
        </w:tc>
        <w:tc>
          <w:tcPr>
            <w:tcW w:type="dxa" w:w="2880"/>
          </w:tcPr>
          <w:p>
            <w:r>
              <w:t>$92,523</w:t>
            </w:r>
          </w:p>
        </w:tc>
      </w:tr>
    </w:tbl>
    <w:p/>
    <w:p>
      <w:pPr>
        <w:pStyle w:val="Heading1"/>
      </w:pPr>
      <w:r>
        <w:t>New/Optional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One-Time Investment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IP: DirectLink Merchant (via RegO)</w:t>
            </w:r>
          </w:p>
        </w:tc>
        <w:tc>
          <w:tcPr>
            <w:tcW w:type="dxa" w:w="2160"/>
          </w:tcPr>
          <w:p>
            <w:r>
              <w:t>$23,601</w:t>
            </w:r>
          </w:p>
        </w:tc>
        <w:tc>
          <w:tcPr>
            <w:tcW w:type="dxa" w:w="2160"/>
          </w:tcPr>
          <w:p>
            <w:r>
              <w:t>$2,965.86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IP: DirectLink Consumer (via FIS)</w:t>
            </w:r>
          </w:p>
        </w:tc>
        <w:tc>
          <w:tcPr>
            <w:tcW w:type="dxa" w:w="2160"/>
          </w:tcPr>
          <w:p>
            <w:r>
              <w:t>$29,372</w:t>
            </w:r>
          </w:p>
        </w:tc>
        <w:tc>
          <w:tcPr>
            <w:tcW w:type="dxa" w:w="2160"/>
          </w:tcPr>
          <w:p>
            <w:r>
              <w:t>$1,344.35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HORIZON: Conditional Processing</w:t>
            </w:r>
          </w:p>
        </w:tc>
        <w:tc>
          <w:tcPr>
            <w:tcW w:type="dxa" w:w="2160"/>
          </w:tcPr>
          <w:p>
            <w:r>
              <w:t>$13,709</w:t>
            </w:r>
          </w:p>
        </w:tc>
        <w:tc>
          <w:tcPr>
            <w:tcW w:type="dxa" w:w="2160"/>
          </w:tcPr>
          <w:p>
            <w:r>
              <w:t>$1,000.95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Treasury: eWire (Consumer)</w:t>
            </w:r>
          </w:p>
        </w:tc>
        <w:tc>
          <w:tcPr>
            <w:tcW w:type="dxa" w:w="2160"/>
          </w:tcPr>
          <w:p>
            <w:r>
              <w:t>$1,114</w:t>
            </w:r>
          </w:p>
        </w:tc>
        <w:tc>
          <w:tcPr>
            <w:tcW w:type="dxa" w:w="2160"/>
          </w:tcPr>
          <w:p>
            <w:r>
              <w:t>$5.57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Treasury: Extended Account Analysis</w:t>
            </w:r>
          </w:p>
        </w:tc>
        <w:tc>
          <w:tcPr>
            <w:tcW w:type="dxa" w:w="2160"/>
          </w:tcPr>
          <w:p>
            <w:r>
              <w:t>$58,326</w:t>
            </w:r>
          </w:p>
        </w:tc>
        <w:tc>
          <w:tcPr>
            <w:tcW w:type="dxa" w:w="2160"/>
          </w:tcPr>
          <w:p>
            <w:r>
              <w:t>$1,236.54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Image Solutions: RTP Send for Business</w:t>
            </w:r>
          </w:p>
        </w:tc>
        <w:tc>
          <w:tcPr>
            <w:tcW w:type="dxa" w:w="2160"/>
          </w:tcPr>
          <w:p>
            <w:r>
              <w:t>$7,886</w:t>
            </w:r>
          </w:p>
        </w:tc>
        <w:tc>
          <w:tcPr>
            <w:tcW w:type="dxa" w:w="2160"/>
          </w:tcPr>
          <w:p>
            <w:r>
              <w:t>$172.50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Image Solutions: FedNOW (both Send/Receive)</w:t>
            </w:r>
          </w:p>
        </w:tc>
        <w:tc>
          <w:tcPr>
            <w:tcW w:type="dxa" w:w="2160"/>
          </w:tcPr>
          <w:p>
            <w:r>
              <w:t>$10,654</w:t>
            </w:r>
          </w:p>
        </w:tc>
        <w:tc>
          <w:tcPr>
            <w:tcW w:type="dxa" w:w="2160"/>
          </w:tcPr>
          <w:p>
            <w:r>
              <w:t>$3,887.72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Image Solutions: Chargeback Manager</w:t>
            </w:r>
          </w:p>
        </w:tc>
        <w:tc>
          <w:tcPr>
            <w:tcW w:type="dxa" w:w="2160"/>
          </w:tcPr>
          <w:p>
            <w:r>
              <w:t>$6,361</w:t>
            </w:r>
          </w:p>
        </w:tc>
        <w:tc>
          <w:tcPr>
            <w:tcW w:type="dxa" w:w="2160"/>
          </w:tcPr>
          <w:p>
            <w:r>
              <w:t>$282.92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</w:tbl>
    <w:p/>
    <w:p>
      <w:pPr>
        <w:pStyle w:val="Heading1"/>
      </w:pPr>
      <w:r>
        <w:t>Capped Exit and Acquisition Fees</w:t>
      </w:r>
    </w:p>
    <w:p>
      <w:r>
        <w:t>In the event your bank decides to leave FIS, for any reason, prior to your contract expiration date; FIS will cap your bank's liquidated damages (LDs).</w:t>
      </w:r>
    </w:p>
    <w:p>
      <w:r>
        <w:t>FIS will agree to cap your bank's deconversion fees, as follows:</w:t>
      </w:r>
    </w:p>
    <w:p>
      <w:r>
        <w:t>• Under $1B ($300,000 fee)</w:t>
      </w:r>
    </w:p>
    <w:p>
      <w:r>
        <w:t>• Over $1B (custom quote required)</w:t>
      </w:r>
    </w:p>
    <w:p/>
    <w:p>
      <w:r>
        <w:t>Please note, this does not include any third-party fees or image conversion fees.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