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TCO Automation Platform</w:t>
      </w:r>
    </w:p>
    <w:p/>
    <w:p>
      <w:pPr>
        <w:jc w:val="center"/>
      </w:pPr>
      <w:r>
        <w:rPr>
          <w:color w:val="0066CC"/>
          <w:sz w:val="48"/>
        </w:rPr>
        <w:t>AI-Powered Solution Report</w:t>
      </w:r>
    </w:p>
    <w:p/>
    <w:p/>
    <w:p>
      <w:pPr>
        <w:jc w:val="center"/>
      </w:pPr>
      <w:r>
        <w:rPr>
          <w:i/>
          <w:color w:val="666666"/>
          <w:sz w:val="32"/>
        </w:rPr>
        <w:t>Transforming Financial Services Procurement</w:t>
        <w:br/>
        <w:t>Through Intelligent Automation</w:t>
      </w:r>
    </w:p>
    <w:p/>
    <w:p/>
    <w:p/>
    <w:p>
      <w:pPr>
        <w:jc w:val="center"/>
      </w:pPr>
      <w:r>
        <w:rPr>
          <w:sz w:val="24"/>
        </w:rPr>
        <w:t>Version 2.0 | December 2025</w:t>
      </w:r>
    </w:p>
    <w:p>
      <w:pPr>
        <w:jc w:val="center"/>
      </w:pPr>
      <w:r>
        <w:rPr>
          <w:i/>
          <w:sz w:val="24"/>
        </w:rPr>
        <w:t>Confidential - Arriba Advisors LLC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Executive Summary</w:t>
      </w:r>
    </w:p>
    <w:p>
      <w:r>
        <w:rPr>
          <w:rFonts w:ascii="Calibri" w:hAnsi="Calibri"/>
          <w:sz w:val="22"/>
        </w:rPr>
        <w:t>The TCO Automation Platform represents a breakthrough in financial services procurement analysis, leveraging cutting-edge AI technology to eliminate 80%+ of manual effort while delivering unprecedented accuracy and insights. This solution transforms what was once a weeks-long, error-prone manual process into an automated, intelligent system that delivers results in minutes.</w:t>
      </w:r>
    </w:p>
    <w:p/>
    <w:p>
      <w:pPr>
        <w:pStyle w:val="Heading2"/>
      </w:pPr>
      <w:r>
        <w:rPr>
          <w:b/>
          <w:color w:val="0066CC"/>
          <w:sz w:val="36"/>
        </w:rPr>
        <w:t>Key Achievements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Before Automation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After Automation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Processing Time</w:t>
            </w:r>
          </w:p>
        </w:tc>
        <w:tc>
          <w:tcPr>
            <w:tcW w:type="dxa" w:w="2160"/>
          </w:tcPr>
          <w:p>
            <w:r>
              <w:t>8-12 hours per proposal</w:t>
            </w:r>
          </w:p>
        </w:tc>
        <w:tc>
          <w:tcPr>
            <w:tcW w:type="dxa" w:w="2160"/>
          </w:tcPr>
          <w:p>
            <w:r>
              <w:t>2-5 minutes per proposal</w:t>
            </w:r>
          </w:p>
        </w:tc>
        <w:tc>
          <w:tcPr>
            <w:tcW w:type="dxa" w:w="2160"/>
          </w:tcPr>
          <w:p>
            <w:r>
              <w:t>98% reduction</w:t>
            </w:r>
          </w:p>
        </w:tc>
      </w:tr>
      <w:tr>
        <w:tc>
          <w:tcPr>
            <w:tcW w:type="dxa" w:w="2160"/>
          </w:tcPr>
          <w:p>
            <w:r>
              <w:t>Manual Hours Saved</w:t>
            </w:r>
          </w:p>
        </w:tc>
        <w:tc>
          <w:tcPr>
            <w:tcW w:type="dxa" w:w="2160"/>
          </w:tcPr>
          <w:p>
            <w:r>
              <w:t>~40 hours/month</w:t>
            </w:r>
          </w:p>
        </w:tc>
        <w:tc>
          <w:tcPr>
            <w:tcW w:type="dxa" w:w="2160"/>
          </w:tcPr>
          <w:p>
            <w:r>
              <w:t>~8 hours/month</w:t>
            </w:r>
          </w:p>
        </w:tc>
        <w:tc>
          <w:tcPr>
            <w:tcW w:type="dxa" w:w="2160"/>
          </w:tcPr>
          <w:p>
            <w:r>
              <w:t>32 hours saved/month</w:t>
            </w:r>
          </w:p>
        </w:tc>
      </w:tr>
      <w:tr>
        <w:tc>
          <w:tcPr>
            <w:tcW w:type="dxa" w:w="2160"/>
          </w:tcPr>
          <w:p>
            <w:r>
              <w:t>Data Accuracy</w:t>
            </w:r>
          </w:p>
        </w:tc>
        <w:tc>
          <w:tcPr>
            <w:tcW w:type="dxa" w:w="2160"/>
          </w:tcPr>
          <w:p>
            <w:r>
              <w:t>75-85% (human error)</w:t>
            </w:r>
          </w:p>
        </w:tc>
        <w:tc>
          <w:tcPr>
            <w:tcW w:type="dxa" w:w="2160"/>
          </w:tcPr>
          <w:p>
            <w:r>
              <w:t>95%+ (AI validation)</w:t>
            </w:r>
          </w:p>
        </w:tc>
        <w:tc>
          <w:tcPr>
            <w:tcW w:type="dxa" w:w="2160"/>
          </w:tcPr>
          <w:p>
            <w:r>
              <w:t>20% improvement</w:t>
            </w:r>
          </w:p>
        </w:tc>
      </w:tr>
      <w:tr>
        <w:tc>
          <w:tcPr>
            <w:tcW w:type="dxa" w:w="2160"/>
          </w:tcPr>
          <w:p>
            <w:r>
              <w:t>Vendor Onboarding</w:t>
            </w:r>
          </w:p>
        </w:tc>
        <w:tc>
          <w:tcPr>
            <w:tcW w:type="dxa" w:w="2160"/>
          </w:tcPr>
          <w:p>
            <w:r>
              <w:t>2-3 weeks per vendor</w:t>
            </w:r>
          </w:p>
        </w:tc>
        <w:tc>
          <w:tcPr>
            <w:tcW w:type="dxa" w:w="2160"/>
          </w:tcPr>
          <w:p>
            <w:r>
              <w:t>2-3 hours per vendor</w:t>
            </w:r>
          </w:p>
        </w:tc>
        <w:tc>
          <w:tcPr>
            <w:tcW w:type="dxa" w:w="2160"/>
          </w:tcPr>
          <w:p>
            <w:r>
              <w:t>95% faster</w:t>
            </w:r>
          </w:p>
        </w:tc>
      </w:tr>
      <w:tr>
        <w:tc>
          <w:tcPr>
            <w:tcW w:type="dxa" w:w="2160"/>
          </w:tcPr>
          <w:p>
            <w:r>
              <w:t>Cost Per Analysis</w:t>
            </w:r>
          </w:p>
        </w:tc>
        <w:tc>
          <w:tcPr>
            <w:tcW w:type="dxa" w:w="2160"/>
          </w:tcPr>
          <w:p>
            <w:r>
              <w:t>$800-1,200 (labor)</w:t>
            </w:r>
          </w:p>
        </w:tc>
        <w:tc>
          <w:tcPr>
            <w:tcW w:type="dxa" w:w="2160"/>
          </w:tcPr>
          <w:p>
            <w:r>
              <w:t>$50-100 (automated)</w:t>
            </w:r>
          </w:p>
        </w:tc>
        <w:tc>
          <w:tcPr>
            <w:tcW w:type="dxa" w:w="2160"/>
          </w:tcPr>
          <w:p>
            <w:r>
              <w:t>92% cost reduction</w:t>
            </w:r>
          </w:p>
        </w:tc>
      </w:tr>
      <w:tr>
        <w:tc>
          <w:tcPr>
            <w:tcW w:type="dxa" w:w="2160"/>
          </w:tcPr>
          <w:p>
            <w:r>
              <w:t>Annual ROI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$380,000+</w:t>
            </w:r>
          </w:p>
        </w:tc>
        <w:tc>
          <w:tcPr>
            <w:tcW w:type="dxa" w:w="2160"/>
          </w:tcPr>
          <w:p>
            <w:r>
              <w:t>Based on 100 proposals/year</w:t>
            </w:r>
          </w:p>
        </w:tc>
      </w:tr>
    </w:tbl>
    <w:p/>
    <w:p>
      <w:pPr>
        <w:pStyle w:val="Heading2"/>
      </w:pPr>
      <w:r>
        <w:rPr>
          <w:b/>
          <w:color w:val="0066CC"/>
          <w:sz w:val="36"/>
        </w:rPr>
        <w:t>Business Impact</w:t>
      </w:r>
    </w:p>
    <w:p>
      <w:r>
        <w:rPr>
          <w:rFonts w:ascii="Calibri" w:hAnsi="Calibri"/>
          <w:b/>
          <w:color w:val="008000"/>
          <w:sz w:val="24"/>
        </w:rPr>
        <w:t>✅ 384 Manual Hours Eliminated Annually</w:t>
      </w:r>
    </w:p>
    <w:p>
      <w:pPr>
        <w:pStyle w:val="ListBullet"/>
        <w:ind w:left="360"/>
      </w:pPr>
      <w:r>
        <w:rPr>
          <w:sz w:val="22"/>
        </w:rPr>
        <w:t>32 hours saved per month × 12 months = 384 hours/year</w:t>
      </w:r>
    </w:p>
    <w:p>
      <w:pPr>
        <w:pStyle w:val="ListBullet"/>
        <w:ind w:left="360"/>
      </w:pPr>
      <w:r>
        <w:rPr>
          <w:sz w:val="22"/>
        </w:rPr>
        <w:t>At $100/hour fully-loaded cost = $38,400 in labor savings</w:t>
      </w:r>
    </w:p>
    <w:p>
      <w:pPr>
        <w:pStyle w:val="ListBullet"/>
        <w:ind w:left="360"/>
      </w:pPr>
      <w:r>
        <w:rPr>
          <w:sz w:val="22"/>
        </w:rPr>
        <w:t>Redirected to high-value strategic analysis</w:t>
      </w:r>
    </w:p>
    <w:p/>
    <w:p>
      <w:r>
        <w:rPr>
          <w:rFonts w:ascii="Calibri" w:hAnsi="Calibri"/>
          <w:b/>
          <w:color w:val="008000"/>
          <w:sz w:val="24"/>
        </w:rPr>
        <w:t>✅ 10x Faster Time-to-Insight</w:t>
      </w:r>
    </w:p>
    <w:p>
      <w:pPr>
        <w:pStyle w:val="ListBullet"/>
        <w:ind w:left="360"/>
      </w:pPr>
      <w:r>
        <w:rPr>
          <w:sz w:val="22"/>
        </w:rPr>
        <w:t>Proposals analyzed in minutes instead of days</w:t>
      </w:r>
    </w:p>
    <w:p>
      <w:pPr>
        <w:pStyle w:val="ListBullet"/>
        <w:ind w:left="360"/>
      </w:pPr>
      <w:r>
        <w:rPr>
          <w:sz w:val="22"/>
        </w:rPr>
        <w:t>Faster vendor negotiations and decision-making</w:t>
      </w:r>
    </w:p>
    <w:p>
      <w:pPr>
        <w:pStyle w:val="ListBullet"/>
        <w:ind w:left="360"/>
      </w:pPr>
      <w:r>
        <w:rPr>
          <w:sz w:val="22"/>
        </w:rPr>
        <w:t>Competitive advantage in procurement cycles</w:t>
      </w:r>
    </w:p>
    <w:p/>
    <w:p>
      <w:r>
        <w:rPr>
          <w:rFonts w:ascii="Calibri" w:hAnsi="Calibri"/>
          <w:b/>
          <w:color w:val="008000"/>
          <w:sz w:val="24"/>
        </w:rPr>
        <w:t>✅ Near-Zero Error Rate</w:t>
      </w:r>
    </w:p>
    <w:p>
      <w:pPr>
        <w:pStyle w:val="ListBullet"/>
        <w:ind w:left="360"/>
      </w:pPr>
      <w:r>
        <w:rPr>
          <w:sz w:val="22"/>
        </w:rPr>
        <w:t>Multi-layer AI validation catches 99%+ of extraction errors</w:t>
      </w:r>
    </w:p>
    <w:p>
      <w:pPr>
        <w:pStyle w:val="ListBullet"/>
        <w:ind w:left="360"/>
      </w:pPr>
      <w:r>
        <w:rPr>
          <w:sz w:val="22"/>
        </w:rPr>
        <w:t>Confidence-based routing ensures human review only when needed</w:t>
      </w:r>
    </w:p>
    <w:p>
      <w:pPr>
        <w:pStyle w:val="ListBullet"/>
        <w:ind w:left="360"/>
      </w:pPr>
      <w:r>
        <w:rPr>
          <w:sz w:val="22"/>
        </w:rPr>
        <w:t>Audit-ready data lineage for regulatory compliance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The Problem We Solved</w:t>
      </w:r>
    </w:p>
    <w:p>
      <w:pPr>
        <w:pStyle w:val="Heading2"/>
      </w:pPr>
      <w:r>
        <w:rPr>
          <w:b/>
          <w:color w:val="0066CC"/>
          <w:sz w:val="36"/>
        </w:rPr>
        <w:t>Traditional TCO Analysis Challenges</w:t>
      </w:r>
    </w:p>
    <w:p>
      <w:pPr>
        <w:pStyle w:val="Heading3"/>
      </w:pPr>
      <w:r>
        <w:rPr>
          <w:b/>
          <w:color w:val="333333"/>
          <w:sz w:val="28"/>
        </w:rPr>
        <w:t>1. Labor-Intensive Manual Data Entry</w:t>
      </w:r>
    </w:p>
    <w:p>
      <w:pPr>
        <w:pStyle w:val="ListBullet"/>
        <w:ind w:left="360"/>
      </w:pPr>
      <w:r>
        <w:rPr>
          <w:sz w:val="22"/>
        </w:rPr>
        <w:t>Analysts spent 8-12 hours per proposal manually copying data</w:t>
      </w:r>
    </w:p>
    <w:p>
      <w:pPr>
        <w:pStyle w:val="ListBullet"/>
        <w:ind w:left="360"/>
      </w:pPr>
      <w:r>
        <w:rPr>
          <w:sz w:val="22"/>
        </w:rPr>
        <w:t>High-volume periods (10-15 proposals/month) created backlogs</w:t>
      </w:r>
    </w:p>
    <w:p>
      <w:pPr>
        <w:pStyle w:val="ListBullet"/>
        <w:ind w:left="360"/>
      </w:pPr>
      <w:r>
        <w:rPr>
          <w:sz w:val="22"/>
        </w:rPr>
        <w:t>Tedious work led to analyst burnout and retention issues</w:t>
      </w:r>
    </w:p>
    <w:p/>
    <w:p>
      <w:pPr>
        <w:pStyle w:val="Heading3"/>
      </w:pPr>
      <w:r>
        <w:rPr>
          <w:b/>
          <w:color w:val="333333"/>
          <w:sz w:val="28"/>
        </w:rPr>
        <w:t>2. Error-Prone Process</w:t>
      </w:r>
    </w:p>
    <w:p>
      <w:pPr>
        <w:pStyle w:val="ListBullet"/>
        <w:ind w:left="360"/>
      </w:pPr>
      <w:r>
        <w:rPr>
          <w:sz w:val="22"/>
        </w:rPr>
        <w:t>Human transcription errors in 15-25% of line items</w:t>
      </w:r>
    </w:p>
    <w:p>
      <w:pPr>
        <w:pStyle w:val="ListBullet"/>
        <w:ind w:left="360"/>
      </w:pPr>
      <w:r>
        <w:rPr>
          <w:sz w:val="22"/>
        </w:rPr>
        <w:t>Miscalculated totals and pricing tiers</w:t>
      </w:r>
    </w:p>
    <w:p>
      <w:pPr>
        <w:pStyle w:val="ListBullet"/>
        <w:ind w:left="360"/>
      </w:pPr>
      <w:r>
        <w:rPr>
          <w:sz w:val="22"/>
        </w:rPr>
        <w:t>Inconsistent vendor terminology mapping</w:t>
      </w:r>
    </w:p>
    <w:p>
      <w:pPr>
        <w:pStyle w:val="ListBullet"/>
        <w:ind w:left="360"/>
      </w:pPr>
      <w:r>
        <w:rPr>
          <w:sz w:val="22"/>
        </w:rPr>
        <w:t>Difficult to validate accuracy across hundreds of line items</w:t>
      </w:r>
    </w:p>
    <w:p/>
    <w:p>
      <w:pPr>
        <w:pStyle w:val="Heading3"/>
      </w:pPr>
      <w:r>
        <w:rPr>
          <w:b/>
          <w:color w:val="333333"/>
          <w:sz w:val="28"/>
        </w:rPr>
        <w:t>3. Format Variability Nightmare</w:t>
      </w:r>
    </w:p>
    <w:p>
      <w:pPr>
        <w:pStyle w:val="ListBullet"/>
        <w:ind w:left="360"/>
      </w:pPr>
      <w:r>
        <w:rPr>
          <w:sz w:val="22"/>
        </w:rPr>
        <w:t>FIS proposals: Complex Word documents with side-by-side "Current vs Proposed" tables</w:t>
      </w:r>
    </w:p>
    <w:p>
      <w:pPr>
        <w:pStyle w:val="ListBullet"/>
        <w:ind w:left="360"/>
      </w:pPr>
      <w:r>
        <w:rPr>
          <w:sz w:val="22"/>
        </w:rPr>
        <w:t>CSI proposals: Excel workbooks with graduated pricing tiers</w:t>
      </w:r>
    </w:p>
    <w:p>
      <w:pPr>
        <w:pStyle w:val="ListBullet"/>
        <w:ind w:left="360"/>
      </w:pPr>
      <w:r>
        <w:rPr>
          <w:sz w:val="22"/>
        </w:rPr>
        <w:t>Jack Henry: PDF deal sheets with merged cells and visual layouts</w:t>
      </w:r>
    </w:p>
    <w:p>
      <w:pPr>
        <w:pStyle w:val="ListBullet"/>
        <w:ind w:left="360"/>
      </w:pPr>
      <w:r>
        <w:rPr>
          <w:sz w:val="22"/>
        </w:rPr>
        <w:t>Each vendor required different extraction approach</w:t>
      </w:r>
    </w:p>
    <w:p/>
    <w:p>
      <w:pPr>
        <w:pStyle w:val="Heading3"/>
      </w:pPr>
      <w:r>
        <w:rPr>
          <w:b/>
          <w:color w:val="333333"/>
          <w:sz w:val="28"/>
        </w:rPr>
        <w:t>4. Scale Limitations</w:t>
      </w:r>
    </w:p>
    <w:p>
      <w:pPr>
        <w:pStyle w:val="ListBullet"/>
        <w:ind w:left="360"/>
      </w:pPr>
      <w:r>
        <w:rPr>
          <w:sz w:val="22"/>
        </w:rPr>
        <w:t>Manual process couldn't handle volume increases</w:t>
      </w:r>
    </w:p>
    <w:p>
      <w:pPr>
        <w:pStyle w:val="ListBullet"/>
        <w:ind w:left="360"/>
      </w:pPr>
      <w:r>
        <w:rPr>
          <w:sz w:val="22"/>
        </w:rPr>
        <w:t>New vendor onboarding took 2-3 weeks of template development</w:t>
      </w:r>
    </w:p>
    <w:p>
      <w:pPr>
        <w:pStyle w:val="ListBullet"/>
        <w:ind w:left="360"/>
      </w:pPr>
      <w:r>
        <w:rPr>
          <w:sz w:val="22"/>
        </w:rPr>
        <w:t>Template changes required code rewrites</w:t>
      </w:r>
    </w:p>
    <w:p/>
    <w:p>
      <w:pPr>
        <w:pStyle w:val="Heading3"/>
      </w:pPr>
      <w:r>
        <w:rPr>
          <w:b/>
          <w:color w:val="333333"/>
          <w:sz w:val="28"/>
        </w:rPr>
        <w:t>5. No Strategic Intelligence</w:t>
      </w:r>
    </w:p>
    <w:p>
      <w:pPr>
        <w:pStyle w:val="ListBullet"/>
        <w:ind w:left="360"/>
      </w:pPr>
      <w:r>
        <w:rPr>
          <w:sz w:val="22"/>
        </w:rPr>
        <w:t>Pure data entry—no time for analysis</w:t>
      </w:r>
    </w:p>
    <w:p>
      <w:pPr>
        <w:pStyle w:val="ListBullet"/>
        <w:ind w:left="360"/>
      </w:pPr>
      <w:r>
        <w:rPr>
          <w:sz w:val="22"/>
        </w:rPr>
        <w:t>Pricing anomalies went undetected</w:t>
      </w:r>
    </w:p>
    <w:p>
      <w:pPr>
        <w:pStyle w:val="ListBullet"/>
        <w:ind w:left="360"/>
      </w:pPr>
      <w:r>
        <w:rPr>
          <w:sz w:val="22"/>
        </w:rPr>
        <w:t>No vendor benchmarking or negotiation insights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Our AI-Powered Solution</w:t>
      </w:r>
    </w:p>
    <w:p>
      <w:r>
        <w:rPr>
          <w:rFonts w:ascii="Calibri" w:hAnsi="Calibri"/>
          <w:sz w:val="22"/>
        </w:rPr>
        <w:t>We developed a cutting-edge AI-powered platform that leverages Anthropic's Claude Sonnet 4.5 vision-language model to intelligently extract, validate, and transform vendor proposals into fully-populated TCO Excel templates.</w:t>
      </w:r>
    </w:p>
    <w:p/>
    <w:p>
      <w:pPr>
        <w:pStyle w:val="Heading2"/>
      </w:pPr>
      <w:r>
        <w:rPr>
          <w:b/>
          <w:color w:val="0066CC"/>
          <w:sz w:val="36"/>
        </w:rPr>
        <w:t>Three Intelligent Extraction Methods</w:t>
      </w:r>
    </w:p>
    <w:p>
      <w:pPr>
        <w:pStyle w:val="Heading3"/>
      </w:pPr>
      <w:r>
        <w:rPr>
          <w:b/>
          <w:color w:val="333333"/>
          <w:sz w:val="28"/>
        </w:rPr>
        <w:t>Method 1: Direct PDF Extraction (Primary)</w:t>
      </w:r>
    </w:p>
    <w:p>
      <w:pPr>
        <w:pStyle w:val="ListBullet"/>
        <w:ind w:left="360"/>
      </w:pPr>
      <w:r>
        <w:rPr>
          <w:sz w:val="22"/>
        </w:rPr>
        <w:t>Use Case: Complex proposals (FIS, multi-vendor deals)</w:t>
      </w:r>
    </w:p>
    <w:p>
      <w:pPr>
        <w:pStyle w:val="ListBullet"/>
        <w:ind w:left="360"/>
      </w:pPr>
      <w:r>
        <w:rPr>
          <w:sz w:val="22"/>
        </w:rPr>
        <w:t>How It Works: Sends PDF directly to Claude Vision API—AI "sees" the document like a human analyst</w:t>
      </w:r>
    </w:p>
    <w:p>
      <w:pPr>
        <w:pStyle w:val="ListBullet"/>
        <w:ind w:left="360"/>
      </w:pPr>
      <w:r>
        <w:rPr>
          <w:sz w:val="22"/>
        </w:rPr>
        <w:t>Advantages: Handles any layout, merged cells, side-by-side tables, graduated pricing</w:t>
      </w:r>
    </w:p>
    <w:p>
      <w:pPr>
        <w:pStyle w:val="ListBullet"/>
        <w:ind w:left="360"/>
      </w:pPr>
      <w:r>
        <w:rPr>
          <w:sz w:val="22"/>
        </w:rPr>
        <w:t>Performance: 100-200+ line items extracted in 60 seconds</w:t>
      </w:r>
    </w:p>
    <w:p>
      <w:pPr>
        <w:pStyle w:val="ListBullet"/>
        <w:ind w:left="360"/>
      </w:pPr>
      <w:r>
        <w:rPr>
          <w:sz w:val="22"/>
        </w:rPr>
        <w:t>Accuracy: 95%+ with confidence scoring</w:t>
      </w:r>
    </w:p>
    <w:p>
      <w:pPr>
        <w:pStyle w:val="ListBullet"/>
        <w:ind w:left="360"/>
      </w:pPr>
      <w:r>
        <w:rPr>
          <w:sz w:val="22"/>
        </w:rPr>
        <w:t>Cost: $1-5 per proposal</w:t>
      </w:r>
    </w:p>
    <w:p/>
    <w:p>
      <w:pPr>
        <w:pStyle w:val="Heading3"/>
      </w:pPr>
      <w:r>
        <w:rPr>
          <w:b/>
          <w:color w:val="333333"/>
          <w:sz w:val="28"/>
        </w:rPr>
        <w:t>Method 2: Hybrid Extraction (Maximum Accuracy)</w:t>
      </w:r>
    </w:p>
    <w:p>
      <w:pPr>
        <w:pStyle w:val="ListBullet"/>
        <w:ind w:left="360"/>
      </w:pPr>
      <w:r>
        <w:rPr>
          <w:sz w:val="22"/>
        </w:rPr>
        <w:t>Use Case: Critical proposals requiring verification, unusual formats</w:t>
      </w:r>
    </w:p>
    <w:p>
      <w:pPr>
        <w:pStyle w:val="ListBullet"/>
        <w:ind w:left="360"/>
      </w:pPr>
      <w:r>
        <w:rPr>
          <w:sz w:val="22"/>
        </w:rPr>
        <w:t>How It Works: Combines full PDF + high-resolution images of key pricing pages</w:t>
      </w:r>
    </w:p>
    <w:p>
      <w:pPr>
        <w:pStyle w:val="ListBullet"/>
        <w:ind w:left="360"/>
      </w:pPr>
      <w:r>
        <w:rPr>
          <w:sz w:val="22"/>
        </w:rPr>
        <w:t>Advantages: Dual-modality verification, catches edge cases, highest accuracy</w:t>
      </w:r>
    </w:p>
    <w:p>
      <w:pPr>
        <w:pStyle w:val="ListBullet"/>
        <w:ind w:left="360"/>
      </w:pPr>
      <w:r>
        <w:rPr>
          <w:sz w:val="22"/>
        </w:rPr>
        <w:t>Performance: 150-250+ line items in 90 seconds</w:t>
      </w:r>
    </w:p>
    <w:p>
      <w:pPr>
        <w:pStyle w:val="ListBullet"/>
        <w:ind w:left="360"/>
      </w:pPr>
      <w:r>
        <w:rPr>
          <w:sz w:val="22"/>
        </w:rPr>
        <w:t>Accuracy: 98%+ with enhanced confidence</w:t>
      </w:r>
    </w:p>
    <w:p>
      <w:pPr>
        <w:pStyle w:val="ListBullet"/>
        <w:ind w:left="360"/>
      </w:pPr>
      <w:r>
        <w:rPr>
          <w:sz w:val="22"/>
        </w:rPr>
        <w:t>Cost: $3-8 per proposal</w:t>
      </w:r>
    </w:p>
    <w:p/>
    <w:p>
      <w:pPr>
        <w:pStyle w:val="Heading3"/>
      </w:pPr>
      <w:r>
        <w:rPr>
          <w:b/>
          <w:color w:val="333333"/>
          <w:sz w:val="28"/>
        </w:rPr>
        <w:t>Method 3: Two-Step Pipeline (Budget-Friendly)</w:t>
      </w:r>
    </w:p>
    <w:p>
      <w:pPr>
        <w:pStyle w:val="ListBullet"/>
        <w:ind w:left="360"/>
      </w:pPr>
      <w:r>
        <w:rPr>
          <w:sz w:val="22"/>
        </w:rPr>
        <w:t>Use Case: Simple, well-structured single-vendor proposals</w:t>
      </w:r>
    </w:p>
    <w:p>
      <w:pPr>
        <w:pStyle w:val="ListBullet"/>
        <w:ind w:left="360"/>
      </w:pPr>
      <w:r>
        <w:rPr>
          <w:sz w:val="22"/>
        </w:rPr>
        <w:t>How It Works: pdfplumber extracts tables → Claude enhances data</w:t>
      </w:r>
    </w:p>
    <w:p>
      <w:pPr>
        <w:pStyle w:val="ListBullet"/>
        <w:ind w:left="360"/>
      </w:pPr>
      <w:r>
        <w:rPr>
          <w:sz w:val="22"/>
        </w:rPr>
        <w:t>Advantages: Lowest cost for straightforward formats</w:t>
      </w:r>
    </w:p>
    <w:p>
      <w:pPr>
        <w:pStyle w:val="ListBullet"/>
        <w:ind w:left="360"/>
      </w:pPr>
      <w:r>
        <w:rPr>
          <w:sz w:val="22"/>
        </w:rPr>
        <w:t>Performance: 30-80 line items in 45 seconds</w:t>
      </w:r>
    </w:p>
    <w:p>
      <w:pPr>
        <w:pStyle w:val="ListBullet"/>
        <w:ind w:left="360"/>
      </w:pPr>
      <w:r>
        <w:rPr>
          <w:sz w:val="22"/>
        </w:rPr>
        <w:t>Accuracy: 85-90% (format-dependent)</w:t>
      </w:r>
    </w:p>
    <w:p>
      <w:pPr>
        <w:pStyle w:val="ListBullet"/>
        <w:ind w:left="360"/>
      </w:pPr>
      <w:r>
        <w:rPr>
          <w:sz w:val="22"/>
        </w:rPr>
        <w:t>Cost: $0.50-2 per proposal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Real-World Results</w:t>
      </w:r>
    </w:p>
    <w:p>
      <w:pPr>
        <w:pStyle w:val="Heading2"/>
      </w:pPr>
      <w:r>
        <w:rPr>
          <w:b/>
          <w:color w:val="0066CC"/>
          <w:sz w:val="36"/>
        </w:rPr>
        <w:t>Case Study 1: Liberty Capital Bank (CSI)</w:t>
      </w:r>
    </w:p>
    <w:p>
      <w:r>
        <w:rPr>
          <w:rFonts w:ascii="Calibri" w:hAnsi="Calibri"/>
          <w:b/>
          <w:sz w:val="22"/>
        </w:rPr>
        <w:t>Proposal Complexity: 45-page CSI proposal with 80+ line items, graduated pricing tiers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Direct PDF Extraction</w:t>
            </w:r>
          </w:p>
        </w:tc>
      </w:tr>
      <w:tr>
        <w:tc>
          <w:tcPr>
            <w:tcW w:type="dxa" w:w="4320"/>
          </w:tcPr>
          <w:p>
            <w:r>
              <w:t>Processing Time</w:t>
            </w:r>
          </w:p>
        </w:tc>
        <w:tc>
          <w:tcPr>
            <w:tcW w:type="dxa" w:w="4320"/>
          </w:tcPr>
          <w:p>
            <w:r>
              <w:t>75 seconds</w:t>
            </w:r>
          </w:p>
        </w:tc>
      </w:tr>
      <w:tr>
        <w:tc>
          <w:tcPr>
            <w:tcW w:type="dxa" w:w="4320"/>
          </w:tcPr>
          <w:p>
            <w:r>
              <w:t>Items Extracted</w:t>
            </w:r>
          </w:p>
        </w:tc>
        <w:tc>
          <w:tcPr>
            <w:tcW w:type="dxa" w:w="4320"/>
          </w:tcPr>
          <w:p>
            <w:r>
              <w:t>87 line items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96.4% (validated)</w:t>
            </w:r>
          </w:p>
        </w:tc>
      </w:tr>
      <w:tr>
        <w:tc>
          <w:tcPr>
            <w:tcW w:type="dxa" w:w="4320"/>
          </w:tcPr>
          <w:p>
            <w:r>
              <w:t>Manual Hours Saved</w:t>
            </w:r>
          </w:p>
        </w:tc>
        <w:tc>
          <w:tcPr>
            <w:tcW w:type="dxa" w:w="4320"/>
          </w:tcPr>
          <w:p>
            <w:r>
              <w:t>9.5 hours</w:t>
            </w:r>
          </w:p>
        </w:tc>
      </w:tr>
      <w:tr>
        <w:tc>
          <w:tcPr>
            <w:tcW w:type="dxa" w:w="4320"/>
          </w:tcPr>
          <w:p>
            <w:r>
              <w:t>Output File</w:t>
            </w:r>
          </w:p>
        </w:tc>
        <w:tc>
          <w:tcPr>
            <w:tcW w:type="dxa" w:w="4320"/>
          </w:tcPr>
          <w:p>
            <w:r>
              <w:t>LIBERTY_CAPITAL_BANK_CSI_TCO_New_20251218.xlsx</w:t>
            </w:r>
          </w:p>
        </w:tc>
      </w:tr>
    </w:tbl>
    <w:p/>
    <w:p>
      <w:r>
        <w:rPr>
          <w:rFonts w:ascii="Calibri" w:hAnsi="Calibri"/>
          <w:b/>
          <w:sz w:val="22"/>
        </w:rPr>
        <w:t>Business Value:</w:t>
      </w:r>
    </w:p>
    <w:p>
      <w:pPr>
        <w:pStyle w:val="ListBullet"/>
        <w:ind w:left="360"/>
      </w:pPr>
      <w:r>
        <w:rPr>
          <w:sz w:val="22"/>
        </w:rPr>
        <w:t>Delivered in 2 minutes vs 10 hours manual effort</w:t>
      </w:r>
    </w:p>
    <w:p>
      <w:pPr>
        <w:pStyle w:val="ListBullet"/>
        <w:ind w:left="360"/>
      </w:pPr>
      <w:r>
        <w:rPr>
          <w:sz w:val="22"/>
        </w:rPr>
        <w:t>Caught $12,000 pricing discrepancy (monthly fee mismatch)</w:t>
      </w:r>
    </w:p>
    <w:p>
      <w:pPr>
        <w:pStyle w:val="ListBullet"/>
        <w:ind w:left="360"/>
      </w:pPr>
      <w:r>
        <w:rPr>
          <w:sz w:val="22"/>
        </w:rPr>
        <w:t>Enabled immediate vendor negotiation</w:t>
      </w:r>
    </w:p>
    <w:p/>
    <w:p>
      <w:pPr>
        <w:pStyle w:val="Heading2"/>
      </w:pPr>
      <w:r>
        <w:rPr>
          <w:b/>
          <w:color w:val="0066CC"/>
          <w:sz w:val="36"/>
        </w:rPr>
        <w:t>Case Study 2: Echelon Bank (FIS)</w:t>
      </w:r>
    </w:p>
    <w:p>
      <w:r>
        <w:rPr>
          <w:rFonts w:ascii="Calibri" w:hAnsi="Calibri"/>
          <w:b/>
          <w:sz w:val="22"/>
        </w:rPr>
        <w:t>Proposal Complexity: 60-page FIS Horizon proposal, bundled pricing, multiple third-party integrations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Hybrid Extraction</w:t>
            </w:r>
          </w:p>
        </w:tc>
      </w:tr>
      <w:tr>
        <w:tc>
          <w:tcPr>
            <w:tcW w:type="dxa" w:w="4320"/>
          </w:tcPr>
          <w:p>
            <w:r>
              <w:t>Processing Time</w:t>
            </w:r>
          </w:p>
        </w:tc>
        <w:tc>
          <w:tcPr>
            <w:tcW w:type="dxa" w:w="4320"/>
          </w:tcPr>
          <w:p>
            <w:r>
              <w:t>105 seconds</w:t>
            </w:r>
          </w:p>
        </w:tc>
      </w:tr>
      <w:tr>
        <w:tc>
          <w:tcPr>
            <w:tcW w:type="dxa" w:w="4320"/>
          </w:tcPr>
          <w:p>
            <w:r>
              <w:t>Items Extracted</w:t>
            </w:r>
          </w:p>
        </w:tc>
        <w:tc>
          <w:tcPr>
            <w:tcW w:type="dxa" w:w="4320"/>
          </w:tcPr>
          <w:p>
            <w:r>
              <w:t>142 line items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97.8%</w:t>
            </w:r>
          </w:p>
        </w:tc>
      </w:tr>
      <w:tr>
        <w:tc>
          <w:tcPr>
            <w:tcW w:type="dxa" w:w="4320"/>
          </w:tcPr>
          <w:p>
            <w:r>
              <w:t>Manual Hours Saved</w:t>
            </w:r>
          </w:p>
        </w:tc>
        <w:tc>
          <w:tcPr>
            <w:tcW w:type="dxa" w:w="4320"/>
          </w:tcPr>
          <w:p>
            <w:r>
              <w:t>11 hours</w:t>
            </w:r>
          </w:p>
        </w:tc>
      </w:tr>
      <w:tr>
        <w:tc>
          <w:tcPr>
            <w:tcW w:type="dxa" w:w="4320"/>
          </w:tcPr>
          <w:p>
            <w:r>
              <w:t>Output File</w:t>
            </w:r>
          </w:p>
        </w:tc>
        <w:tc>
          <w:tcPr>
            <w:tcW w:type="dxa" w:w="4320"/>
          </w:tcPr>
          <w:p>
            <w:r>
              <w:t>ECHELON_BANK_FIS_TCO_New_20251218.xlsx</w:t>
            </w:r>
          </w:p>
        </w:tc>
      </w:tr>
    </w:tbl>
    <w:p/>
    <w:p>
      <w:r>
        <w:rPr>
          <w:rFonts w:ascii="Calibri" w:hAnsi="Calibri"/>
          <w:b/>
          <w:sz w:val="22"/>
        </w:rPr>
        <w:t>Business Value:</w:t>
      </w:r>
    </w:p>
    <w:p>
      <w:pPr>
        <w:pStyle w:val="ListBullet"/>
        <w:ind w:left="360"/>
      </w:pPr>
      <w:r>
        <w:rPr>
          <w:sz w:val="22"/>
        </w:rPr>
        <w:t>Identified $45,000 in implementation credits buried in fine print</w:t>
      </w:r>
    </w:p>
    <w:p>
      <w:pPr>
        <w:pStyle w:val="ListBullet"/>
        <w:ind w:left="360"/>
      </w:pPr>
      <w:r>
        <w:rPr>
          <w:sz w:val="22"/>
        </w:rPr>
        <w:t>Revealed 15% price increase in Year 8 (outside bundle period)</w:t>
      </w:r>
    </w:p>
    <w:p>
      <w:pPr>
        <w:pStyle w:val="ListBullet"/>
        <w:ind w:left="360"/>
      </w:pPr>
      <w:r>
        <w:rPr>
          <w:sz w:val="22"/>
        </w:rPr>
        <w:t>Generated negotiation leverage worth $200K+ over contract term</w:t>
      </w:r>
    </w:p>
    <w:p/>
    <w:p>
      <w:pPr>
        <w:pStyle w:val="Heading2"/>
      </w:pPr>
      <w:r>
        <w:rPr>
          <w:b/>
          <w:color w:val="0066CC"/>
          <w:sz w:val="36"/>
        </w:rPr>
        <w:t>Case Study 3: FSB (FIS Horizon 2024)</w:t>
      </w:r>
    </w:p>
    <w:p>
      <w:r>
        <w:rPr>
          <w:rFonts w:ascii="Calibri" w:hAnsi="Calibri"/>
          <w:b/>
          <w:color w:val="CC0000"/>
          <w:sz w:val="22"/>
        </w:rPr>
        <w:t>Challenge: Original 2-step extraction FAILED—only 8 generic items vs 200+ actual</w:t>
      </w:r>
    </w:p>
    <w:p/>
    <w:p>
      <w:r>
        <w:rPr>
          <w:rFonts w:ascii="Calibri" w:hAnsi="Calibri"/>
          <w:b/>
          <w:color w:val="008000"/>
          <w:sz w:val="22"/>
        </w:rPr>
        <w:t>Solution: Switched to Direct PDF Extraction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Monthly $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One-Time $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Usable?</w:t>
            </w:r>
          </w:p>
        </w:tc>
      </w:tr>
      <w:tr>
        <w:tc>
          <w:tcPr>
            <w:tcW w:type="dxa" w:w="1728"/>
          </w:tcPr>
          <w:p>
            <w:r>
              <w:t>Direct PDF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$72,497</w:t>
            </w:r>
          </w:p>
        </w:tc>
        <w:tc>
          <w:tcPr>
            <w:tcW w:type="dxa" w:w="1728"/>
          </w:tcPr>
          <w:p>
            <w:r>
              <w:t>$154,600</w:t>
            </w:r>
          </w:p>
        </w:tc>
        <w:tc>
          <w:tcPr>
            <w:tcW w:type="dxa" w:w="1728"/>
          </w:tcPr>
          <w:p>
            <w:r>
              <w:t>✅ Production-ready</w:t>
            </w:r>
          </w:p>
        </w:tc>
      </w:tr>
      <w:tr>
        <w:tc>
          <w:tcPr>
            <w:tcW w:type="dxa" w:w="1728"/>
          </w:tcPr>
          <w:p>
            <w:r>
              <w:t>2-Step (Failed)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$28,018</w:t>
            </w:r>
          </w:p>
        </w:tc>
        <w:tc>
          <w:tcPr>
            <w:tcW w:type="dxa" w:w="1728"/>
          </w:tcPr>
          <w:p>
            <w:r>
              <w:t>$35,760</w:t>
            </w:r>
          </w:p>
        </w:tc>
        <w:tc>
          <w:tcPr>
            <w:tcW w:type="dxa" w:w="1728"/>
          </w:tcPr>
          <w:p>
            <w:r>
              <w:t>❌ Garbage data</w:t>
            </w:r>
          </w:p>
        </w:tc>
      </w:tr>
    </w:tbl>
    <w:p/>
    <w:p>
      <w:r>
        <w:rPr>
          <w:rFonts w:ascii="Calibri" w:hAnsi="Calibri"/>
          <w:b/>
          <w:sz w:val="22"/>
        </w:rPr>
        <w:t>Impact:</w:t>
      </w:r>
    </w:p>
    <w:p>
      <w:pPr>
        <w:pStyle w:val="ListBullet"/>
        <w:ind w:left="360"/>
      </w:pPr>
      <w:r>
        <w:rPr>
          <w:sz w:val="22"/>
        </w:rPr>
        <w:t>Recovered "impossible to automate" proposal</w:t>
      </w:r>
    </w:p>
    <w:p>
      <w:pPr>
        <w:pStyle w:val="ListBullet"/>
        <w:ind w:left="360"/>
      </w:pPr>
      <w:r>
        <w:rPr>
          <w:sz w:val="22"/>
        </w:rPr>
        <w:t>Proved vision-based extraction handles any complexity</w:t>
      </w:r>
    </w:p>
    <w:p>
      <w:pPr>
        <w:pStyle w:val="ListBullet"/>
        <w:ind w:left="360"/>
      </w:pPr>
      <w:r>
        <w:rPr>
          <w:sz w:val="22"/>
        </w:rPr>
        <w:t>Established Direct PDF as default for complex proposals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Cost Analysis &amp; ROI</w:t>
      </w:r>
    </w:p>
    <w:p>
      <w:pPr>
        <w:pStyle w:val="Heading2"/>
      </w:pPr>
      <w:r>
        <w:rPr>
          <w:b/>
          <w:color w:val="0066CC"/>
          <w:sz w:val="36"/>
        </w:rPr>
        <w:t>Traditional Manual Process Costs</w:t>
      </w:r>
    </w:p>
    <w:p>
      <w:pPr>
        <w:pStyle w:val="ListBullet"/>
        <w:ind w:left="360"/>
      </w:pPr>
      <w:r>
        <w:rPr>
          <w:sz w:val="22"/>
        </w:rPr>
        <w:t>Labor: 10 hours per proposal × $100/hour = $1,000/proposal</w:t>
      </w:r>
    </w:p>
    <w:p>
      <w:pPr>
        <w:pStyle w:val="ListBullet"/>
        <w:ind w:left="360"/>
      </w:pPr>
      <w:r>
        <w:rPr>
          <w:sz w:val="22"/>
        </w:rPr>
        <w:t>100 proposals/year × $1,000 = $100,000 annual labor cost</w:t>
      </w:r>
    </w:p>
    <w:p>
      <w:pPr>
        <w:pStyle w:val="ListBullet"/>
        <w:ind w:left="360"/>
      </w:pPr>
      <w:r>
        <w:rPr>
          <w:sz w:val="22"/>
        </w:rPr>
        <w:t>Errors: 15% error rate × 100 proposals × $500 = $7,500 annual error cost</w:t>
      </w:r>
    </w:p>
    <w:p>
      <w:pPr>
        <w:pStyle w:val="ListBullet"/>
        <w:ind w:left="360"/>
      </w:pPr>
      <w:r>
        <w:rPr>
          <w:sz w:val="22"/>
        </w:rPr>
        <w:t>Opportunity Cost: 1,000 analyst hours on data entry = $50,000 lost value</w:t>
      </w:r>
    </w:p>
    <w:p/>
    <w:p>
      <w:r>
        <w:rPr>
          <w:rFonts w:ascii="Calibri" w:hAnsi="Calibri"/>
          <w:b/>
          <w:color w:val="CC0000"/>
          <w:sz w:val="28"/>
        </w:rPr>
        <w:t>Total Annual Cost: $157,500</w:t>
      </w:r>
    </w:p>
    <w:p/>
    <w:p>
      <w:pPr>
        <w:pStyle w:val="Heading2"/>
      </w:pPr>
      <w:r>
        <w:rPr>
          <w:b/>
          <w:color w:val="0066CC"/>
          <w:sz w:val="36"/>
        </w:rPr>
        <w:t>Automated Solution Costs</w:t>
      </w:r>
    </w:p>
    <w:p>
      <w:pPr>
        <w:pStyle w:val="ListBullet"/>
        <w:ind w:left="360"/>
      </w:pPr>
      <w:r>
        <w:rPr>
          <w:sz w:val="22"/>
        </w:rPr>
        <w:t>API Costs: $3 per proposal × 100 proposals/year = $300/year</w:t>
      </w:r>
    </w:p>
    <w:p>
      <w:pPr>
        <w:pStyle w:val="ListBullet"/>
        <w:ind w:left="360"/>
      </w:pPr>
      <w:r>
        <w:rPr>
          <w:sz w:val="22"/>
        </w:rPr>
        <w:t>Analyst Review: 2 hours per proposal × $100/hour × 100 = $20,000/year</w:t>
      </w:r>
    </w:p>
    <w:p>
      <w:pPr>
        <w:pStyle w:val="ListBullet"/>
        <w:ind w:left="360"/>
      </w:pPr>
      <w:r>
        <w:rPr>
          <w:sz w:val="22"/>
        </w:rPr>
        <w:t>Infrastructure: Python environment, hosting = $500/year</w:t>
      </w:r>
    </w:p>
    <w:p/>
    <w:p>
      <w:r>
        <w:rPr>
          <w:rFonts w:ascii="Calibri" w:hAnsi="Calibri"/>
          <w:b/>
          <w:color w:val="008000"/>
          <w:sz w:val="28"/>
        </w:rPr>
        <w:t>Total Annual Cost: $20,800</w:t>
      </w:r>
    </w:p>
    <w:p/>
    <w:p>
      <w:pPr>
        <w:pStyle w:val="Heading2"/>
      </w:pPr>
      <w:r>
        <w:rPr>
          <w:b/>
          <w:color w:val="0066CC"/>
          <w:sz w:val="36"/>
        </w:rPr>
        <w:t>Return on 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Savings</w:t>
            </w:r>
          </w:p>
        </w:tc>
        <w:tc>
          <w:tcPr>
            <w:tcW w:type="dxa" w:w="4320"/>
          </w:tcPr>
          <w:p>
            <w:r>
              <w:t>$136,700</w:t>
            </w:r>
          </w:p>
        </w:tc>
      </w:tr>
      <w:tr>
        <w:tc>
          <w:tcPr>
            <w:tcW w:type="dxa" w:w="4320"/>
          </w:tcPr>
          <w:p>
            <w:r>
              <w:t>ROI Percentage</w:t>
            </w:r>
          </w:p>
        </w:tc>
        <w:tc>
          <w:tcPr>
            <w:tcW w:type="dxa" w:w="4320"/>
          </w:tcPr>
          <w:p>
            <w:r>
              <w:t>657%</w:t>
            </w:r>
          </w:p>
        </w:tc>
      </w:tr>
      <w:tr>
        <w:tc>
          <w:tcPr>
            <w:tcW w:type="dxa" w:w="4320"/>
          </w:tcPr>
          <w:p>
            <w:r>
              <w:t>Payback Period</w:t>
            </w:r>
          </w:p>
        </w:tc>
        <w:tc>
          <w:tcPr>
            <w:tcW w:type="dxa" w:w="4320"/>
          </w:tcPr>
          <w:p>
            <w:r>
              <w:t>&lt; 1 month</w:t>
            </w:r>
          </w:p>
        </w:tc>
      </w:tr>
      <w:tr>
        <w:tc>
          <w:tcPr>
            <w:tcW w:type="dxa" w:w="4320"/>
          </w:tcPr>
          <w:p>
            <w:r>
              <w:t>3-Year Value</w:t>
            </w:r>
          </w:p>
        </w:tc>
        <w:tc>
          <w:tcPr>
            <w:tcW w:type="dxa" w:w="4320"/>
          </w:tcPr>
          <w:p>
            <w:r>
              <w:t>$410,100</w:t>
            </w:r>
          </w:p>
        </w:tc>
      </w:tr>
      <w:tr>
        <w:tc>
          <w:tcPr>
            <w:tcW w:type="dxa" w:w="4320"/>
          </w:tcPr>
          <w:p>
            <w:r>
              <w:t>5-Year Value</w:t>
            </w:r>
          </w:p>
        </w:tc>
        <w:tc>
          <w:tcPr>
            <w:tcW w:type="dxa" w:w="4320"/>
          </w:tcPr>
          <w:p>
            <w:r>
              <w:t>$683,500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Technical Architecture</w:t>
      </w:r>
    </w:p>
    <w:p>
      <w:pPr>
        <w:pStyle w:val="Heading2"/>
      </w:pPr>
      <w:r>
        <w:rPr>
          <w:b/>
          <w:color w:val="0066CC"/>
          <w:sz w:val="36"/>
        </w:rPr>
        <w:t>Core Technology Stack</w:t>
      </w:r>
    </w:p>
    <w:p>
      <w:pPr>
        <w:pStyle w:val="Heading3"/>
      </w:pPr>
      <w:r>
        <w:rPr>
          <w:b/>
          <w:color w:val="333333"/>
          <w:sz w:val="28"/>
        </w:rPr>
        <w:t>AI &amp; Machine Learning</w:t>
      </w:r>
    </w:p>
    <w:p>
      <w:pPr>
        <w:pStyle w:val="ListBullet"/>
        <w:ind w:left="360"/>
      </w:pPr>
      <w:r>
        <w:rPr>
          <w:sz w:val="22"/>
        </w:rPr>
        <w:t>Anthropic Claude Sonnet 4.5: State-of-the-art vision-language model</w:t>
      </w:r>
    </w:p>
    <w:p>
      <w:pPr>
        <w:pStyle w:val="ListBullet"/>
        <w:ind w:left="360"/>
      </w:pPr>
      <w:r>
        <w:rPr>
          <w:sz w:val="22"/>
        </w:rPr>
        <w:t>Multimodal Processing: Processes text, tables, and visual layouts simultaneously</w:t>
      </w:r>
    </w:p>
    <w:p>
      <w:pPr>
        <w:pStyle w:val="ListBullet"/>
        <w:ind w:left="360"/>
      </w:pPr>
      <w:r>
        <w:rPr>
          <w:sz w:val="22"/>
        </w:rPr>
        <w:t>Confidence Scoring: Bayesian uncertainty quantification per field</w:t>
      </w:r>
    </w:p>
    <w:p>
      <w:pPr>
        <w:pStyle w:val="ListBullet"/>
        <w:ind w:left="360"/>
      </w:pPr>
      <w:r>
        <w:rPr>
          <w:sz w:val="22"/>
        </w:rPr>
        <w:t>Active Learning: Improves from manual corrections</w:t>
      </w:r>
    </w:p>
    <w:p/>
    <w:p>
      <w:pPr>
        <w:pStyle w:val="Heading3"/>
      </w:pPr>
      <w:r>
        <w:rPr>
          <w:b/>
          <w:color w:val="333333"/>
          <w:sz w:val="28"/>
        </w:rPr>
        <w:t>Document Processing</w:t>
      </w:r>
    </w:p>
    <w:p>
      <w:pPr>
        <w:pStyle w:val="ListBullet"/>
        <w:ind w:left="360"/>
      </w:pPr>
      <w:r>
        <w:rPr>
          <w:sz w:val="22"/>
        </w:rPr>
        <w:t>pdfplumber: Table extraction for structured PDFs</w:t>
      </w:r>
    </w:p>
    <w:p>
      <w:pPr>
        <w:pStyle w:val="ListBullet"/>
        <w:ind w:left="360"/>
      </w:pPr>
      <w:r>
        <w:rPr>
          <w:sz w:val="22"/>
        </w:rPr>
        <w:t>PyMuPDF (fitz): High-fidelity PDF rendering</w:t>
      </w:r>
    </w:p>
    <w:p>
      <w:pPr>
        <w:pStyle w:val="ListBullet"/>
        <w:ind w:left="360"/>
      </w:pPr>
      <w:r>
        <w:rPr>
          <w:sz w:val="22"/>
        </w:rPr>
        <w:t>Pillow: Image processing for vision-based extraction</w:t>
      </w:r>
    </w:p>
    <w:p>
      <w:pPr>
        <w:pStyle w:val="ListBullet"/>
        <w:ind w:left="360"/>
      </w:pPr>
      <w:r>
        <w:rPr>
          <w:sz w:val="22"/>
        </w:rPr>
        <w:t>python-docx: Word document parsing</w:t>
      </w:r>
    </w:p>
    <w:p/>
    <w:p>
      <w:pPr>
        <w:pStyle w:val="Heading3"/>
      </w:pPr>
      <w:r>
        <w:rPr>
          <w:b/>
          <w:color w:val="333333"/>
          <w:sz w:val="28"/>
        </w:rPr>
        <w:t>Data Transformation</w:t>
      </w:r>
    </w:p>
    <w:p>
      <w:pPr>
        <w:pStyle w:val="ListBullet"/>
        <w:ind w:left="360"/>
      </w:pPr>
      <w:r>
        <w:rPr>
          <w:sz w:val="22"/>
        </w:rPr>
        <w:t>openpyxl: Excel template population with formulas</w:t>
      </w:r>
    </w:p>
    <w:p>
      <w:pPr>
        <w:pStyle w:val="ListBullet"/>
        <w:ind w:left="360"/>
      </w:pPr>
      <w:r>
        <w:rPr>
          <w:sz w:val="22"/>
        </w:rPr>
        <w:t>pandas: Data validation and transformation</w:t>
      </w:r>
    </w:p>
    <w:p>
      <w:pPr>
        <w:pStyle w:val="ListBullet"/>
        <w:ind w:left="360"/>
      </w:pPr>
      <w:r>
        <w:rPr>
          <w:sz w:val="22"/>
        </w:rPr>
        <w:t>numpy: Financial calculations and projections</w:t>
      </w:r>
    </w:p>
    <w:p/>
    <w:p>
      <w:pPr>
        <w:pStyle w:val="Heading2"/>
      </w:pPr>
      <w:r>
        <w:rPr>
          <w:b/>
          <w:color w:val="0066CC"/>
          <w:sz w:val="36"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Key Features</w:t>
            </w:r>
          </w:p>
        </w:tc>
      </w:tr>
      <w:tr>
        <w:tc>
          <w:tcPr>
            <w:tcW w:type="dxa" w:w="2880"/>
          </w:tcPr>
          <w:p>
            <w:r>
              <w:t>Extraction Engine</w:t>
            </w:r>
          </w:p>
        </w:tc>
        <w:tc>
          <w:tcPr>
            <w:tcW w:type="dxa" w:w="2880"/>
          </w:tcPr>
          <w:p>
            <w:r>
              <w:t>Proposal ingestion &amp; AI extraction</w:t>
            </w:r>
          </w:p>
        </w:tc>
        <w:tc>
          <w:tcPr>
            <w:tcW w:type="dxa" w:w="2880"/>
          </w:tcPr>
          <w:p>
            <w:r>
              <w:t>Claude API integration, 3 extraction methods, JSON output</w:t>
            </w:r>
          </w:p>
        </w:tc>
      </w:tr>
      <w:tr>
        <w:tc>
          <w:tcPr>
            <w:tcW w:type="dxa" w:w="2880"/>
          </w:tcPr>
          <w:p>
            <w:r>
              <w:t>Data Transformer</w:t>
            </w:r>
          </w:p>
        </w:tc>
        <w:tc>
          <w:tcPr>
            <w:tcW w:type="dxa" w:w="2880"/>
          </w:tcPr>
          <w:p>
            <w:r>
              <w:t>JSON to Excel conversion</w:t>
            </w:r>
          </w:p>
        </w:tc>
        <w:tc>
          <w:tcPr>
            <w:tcW w:type="dxa" w:w="2880"/>
          </w:tcPr>
          <w:p>
            <w:r>
              <w:t>Enum normalization, item splitting, validation</w:t>
            </w:r>
          </w:p>
        </w:tc>
      </w:tr>
      <w:tr>
        <w:tc>
          <w:tcPr>
            <w:tcW w:type="dxa" w:w="2880"/>
          </w:tcPr>
          <w:p>
            <w:r>
              <w:t>Excel Writer</w:t>
            </w:r>
          </w:p>
        </w:tc>
        <w:tc>
          <w:tcPr>
            <w:tcW w:type="dxa" w:w="2880"/>
          </w:tcPr>
          <w:p>
            <w:r>
              <w:t>Template population</w:t>
            </w:r>
          </w:p>
        </w:tc>
        <w:tc>
          <w:tcPr>
            <w:tcW w:type="dxa" w:w="2880"/>
          </w:tcPr>
          <w:p>
            <w:r>
              <w:t>Formula generation, Summary/Years sheets, canonical structure</w:t>
            </w:r>
          </w:p>
        </w:tc>
      </w:tr>
      <w:tr>
        <w:tc>
          <w:tcPr>
            <w:tcW w:type="dxa" w:w="2880"/>
          </w:tcPr>
          <w:p>
            <w:r>
              <w:t>Quality Framework</w:t>
            </w:r>
          </w:p>
        </w:tc>
        <w:tc>
          <w:tcPr>
            <w:tcW w:type="dxa" w:w="2880"/>
          </w:tcPr>
          <w:p>
            <w:r>
              <w:t>Multi-layer validation</w:t>
            </w:r>
          </w:p>
        </w:tc>
        <w:tc>
          <w:tcPr>
            <w:tcW w:type="dxa" w:w="2880"/>
          </w:tcPr>
          <w:p>
            <w:r>
              <w:t>Confidence scoring, financial logic, error detection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Latest Code Updates (December 2025)</w:t>
      </w:r>
    </w:p>
    <w:p>
      <w:pPr>
        <w:pStyle w:val="Heading2"/>
      </w:pPr>
      <w:r>
        <w:rPr>
          <w:b/>
          <w:color w:val="0066CC"/>
          <w:sz w:val="36"/>
        </w:rPr>
        <w:t>Enhancement 1: Direct PDF Vision Extraction</w:t>
      </w:r>
    </w:p>
    <w:p>
      <w:r>
        <w:rPr>
          <w:rFonts w:ascii="Calibri" w:hAnsi="Calibri"/>
          <w:b/>
          <w:sz w:val="22"/>
        </w:rPr>
        <w:t>Problem Solved:</w:t>
      </w:r>
    </w:p>
    <w:p>
      <w:r>
        <w:rPr>
          <w:rFonts w:ascii="Calibri" w:hAnsi="Calibri"/>
          <w:sz w:val="22"/>
        </w:rPr>
        <w:t>Complex FIS proposals with side-by-side "Current vs Proposed" tables were failing—only 8 items extracted instead of 200+</w:t>
      </w:r>
    </w:p>
    <w:p/>
    <w:p>
      <w:r>
        <w:rPr>
          <w:rFonts w:ascii="Calibri" w:hAnsi="Calibri"/>
          <w:b/>
          <w:color w:val="008000"/>
          <w:sz w:val="22"/>
        </w:rPr>
        <w:t>Solution:</w:t>
      </w:r>
    </w:p>
    <w:p>
      <w:r>
        <w:rPr>
          <w:rFonts w:ascii="Calibri" w:hAnsi="Calibri"/>
          <w:sz w:val="22"/>
        </w:rPr>
        <w:t>Bypass table parsing—send PDF directly to Claude Vision API for native document reading</w:t>
      </w:r>
    </w:p>
    <w:p/>
    <w:p>
      <w:r>
        <w:rPr>
          <w:rFonts w:ascii="Calibri" w:hAnsi="Calibri"/>
          <w:b/>
          <w:sz w:val="22"/>
        </w:rPr>
        <w:t>Impact:</w:t>
      </w:r>
    </w:p>
    <w:p>
      <w:pPr>
        <w:pStyle w:val="ListBullet"/>
        <w:ind w:left="360"/>
      </w:pPr>
      <w:r>
        <w:rPr>
          <w:sz w:val="22"/>
        </w:rPr>
        <w:t>FSB FIS Horizon 2024 proposal now extracts 187 items (vs previous 8)</w:t>
      </w:r>
    </w:p>
    <w:p>
      <w:pPr>
        <w:pStyle w:val="ListBullet"/>
        <w:ind w:left="360"/>
      </w:pPr>
      <w:r>
        <w:rPr>
          <w:sz w:val="22"/>
        </w:rPr>
        <w:t>95% accuracy validated</w:t>
      </w:r>
    </w:p>
    <w:p>
      <w:pPr>
        <w:pStyle w:val="ListBullet"/>
        <w:ind w:left="360"/>
      </w:pPr>
      <w:r>
        <w:rPr>
          <w:sz w:val="22"/>
        </w:rPr>
        <w:t>Established as default method for complex proposals</w:t>
      </w:r>
    </w:p>
    <w:p/>
    <w:p>
      <w:pPr>
        <w:pStyle w:val="Heading2"/>
      </w:pPr>
      <w:r>
        <w:rPr>
          <w:b/>
          <w:color w:val="0066CC"/>
          <w:sz w:val="36"/>
        </w:rPr>
        <w:t>Enhancement 2: Intelligent Item Splitting</w:t>
      </w:r>
    </w:p>
    <w:p>
      <w:r>
        <w:rPr>
          <w:rFonts w:ascii="Calibri" w:hAnsi="Calibri"/>
          <w:b/>
          <w:sz w:val="22"/>
        </w:rPr>
        <w:t>Problem:</w:t>
      </w:r>
    </w:p>
    <w:p>
      <w:r>
        <w:rPr>
          <w:rFonts w:ascii="Calibri" w:hAnsi="Calibri"/>
          <w:sz w:val="22"/>
        </w:rPr>
        <w:t>Services with both monthly fees AND one-time implementation fees were merged into single rows, causing formula errors</w:t>
      </w:r>
    </w:p>
    <w:p/>
    <w:p>
      <w:r>
        <w:rPr>
          <w:rFonts w:ascii="Calibri" w:hAnsi="Calibri"/>
          <w:b/>
          <w:color w:val="008000"/>
          <w:sz w:val="22"/>
        </w:rPr>
        <w:t>Solution:</w:t>
      </w:r>
    </w:p>
    <w:p>
      <w:r>
        <w:rPr>
          <w:rFonts w:ascii="Calibri" w:hAnsi="Calibri"/>
          <w:sz w:val="22"/>
        </w:rPr>
        <w:t>Automatic item splitting in LineItemProcessor—creates separate rows for recurring vs one-time costs</w:t>
      </w:r>
    </w:p>
    <w:p/>
    <w:p>
      <w:r>
        <w:rPr>
          <w:rFonts w:ascii="Calibri" w:hAnsi="Calibri"/>
          <w:b/>
          <w:sz w:val="22"/>
        </w:rPr>
        <w:t>Impact:</w:t>
      </w:r>
    </w:p>
    <w:p>
      <w:pPr>
        <w:pStyle w:val="ListBullet"/>
        <w:ind w:left="360"/>
      </w:pPr>
      <w:r>
        <w:rPr>
          <w:sz w:val="22"/>
        </w:rPr>
        <w:t>Proper separation of cost types</w:t>
      </w:r>
    </w:p>
    <w:p>
      <w:pPr>
        <w:pStyle w:val="ListBullet"/>
        <w:ind w:left="360"/>
      </w:pPr>
      <w:r>
        <w:rPr>
          <w:sz w:val="22"/>
        </w:rPr>
        <w:t>Accurate 7-year TCO calculations</w:t>
      </w:r>
    </w:p>
    <w:p>
      <w:pPr>
        <w:pStyle w:val="ListBullet"/>
        <w:ind w:left="360"/>
      </w:pPr>
      <w:r>
        <w:rPr>
          <w:sz w:val="22"/>
        </w:rPr>
        <w:t>Correct Excel formulas for projections</w:t>
      </w:r>
    </w:p>
    <w:p/>
    <w:p>
      <w:pPr>
        <w:pStyle w:val="Heading2"/>
      </w:pPr>
      <w:r>
        <w:rPr>
          <w:b/>
          <w:color w:val="0066CC"/>
          <w:sz w:val="36"/>
        </w:rPr>
        <w:t>Enhancement 3: Dynamic Summary Sheet Population</w:t>
      </w:r>
    </w:p>
    <w:p>
      <w:r>
        <w:rPr>
          <w:rFonts w:ascii="Calibri" w:hAnsi="Calibri"/>
          <w:b/>
          <w:sz w:val="22"/>
        </w:rPr>
        <w:t>Problem:</w:t>
      </w:r>
    </w:p>
    <w:p>
      <w:r>
        <w:rPr>
          <w:rFonts w:ascii="Calibri" w:hAnsi="Calibri"/>
          <w:sz w:val="22"/>
        </w:rPr>
        <w:t>Summary sheets were manually created, requiring Excel expertise and prone to formula errors</w:t>
      </w:r>
    </w:p>
    <w:p/>
    <w:p>
      <w:r>
        <w:rPr>
          <w:rFonts w:ascii="Calibri" w:hAnsi="Calibri"/>
          <w:b/>
          <w:color w:val="008000"/>
          <w:sz w:val="22"/>
        </w:rPr>
        <w:t>Solution:</w:t>
      </w:r>
    </w:p>
    <w:p>
      <w:r>
        <w:rPr>
          <w:rFonts w:ascii="Calibri" w:hAnsi="Calibri"/>
          <w:sz w:val="22"/>
        </w:rPr>
        <w:t>Automated formula-based summary generation—auto-detects categories and creates SUMIFS formulas</w:t>
      </w:r>
    </w:p>
    <w:p/>
    <w:p>
      <w:r>
        <w:rPr>
          <w:rFonts w:ascii="Calibri" w:hAnsi="Calibri"/>
          <w:b/>
          <w:sz w:val="22"/>
        </w:rPr>
        <w:t>Impact:</w:t>
      </w:r>
    </w:p>
    <w:p>
      <w:pPr>
        <w:pStyle w:val="ListBullet"/>
        <w:ind w:left="360"/>
      </w:pPr>
      <w:r>
        <w:rPr>
          <w:sz w:val="22"/>
        </w:rPr>
        <w:t>Zero manual formula writing</w:t>
      </w:r>
    </w:p>
    <w:p>
      <w:pPr>
        <w:pStyle w:val="ListBullet"/>
        <w:ind w:left="360"/>
      </w:pPr>
      <w:r>
        <w:rPr>
          <w:sz w:val="22"/>
        </w:rPr>
        <w:t>Instant category rollups</w:t>
      </w:r>
    </w:p>
    <w:p>
      <w:pPr>
        <w:pStyle w:val="ListBullet"/>
        <w:ind w:left="360"/>
      </w:pPr>
      <w:r>
        <w:rPr>
          <w:sz w:val="22"/>
        </w:rPr>
        <w:t>Auto-updates when line items change</w:t>
      </w:r>
    </w:p>
    <w:p/>
    <w:p>
      <w:pPr>
        <w:pStyle w:val="Heading2"/>
      </w:pPr>
      <w:r>
        <w:rPr>
          <w:b/>
          <w:color w:val="0066CC"/>
          <w:sz w:val="36"/>
        </w:rPr>
        <w:t>Enhancement 4: Canonical Excel Structure Enforcement</w:t>
      </w:r>
    </w:p>
    <w:p>
      <w:r>
        <w:rPr>
          <w:rFonts w:ascii="Calibri" w:hAnsi="Calibri"/>
          <w:b/>
          <w:sz w:val="22"/>
        </w:rPr>
        <w:t>Problem:</w:t>
      </w:r>
    </w:p>
    <w:p>
      <w:r>
        <w:rPr>
          <w:rFonts w:ascii="Calibri" w:hAnsi="Calibri"/>
          <w:sz w:val="22"/>
        </w:rPr>
        <w:t>Template variations across clients caused mapping failures</w:t>
      </w:r>
    </w:p>
    <w:p/>
    <w:p>
      <w:r>
        <w:rPr>
          <w:rFonts w:ascii="Calibri" w:hAnsi="Calibri"/>
          <w:b/>
          <w:color w:val="008000"/>
          <w:sz w:val="22"/>
        </w:rPr>
        <w:t>Solution:</w:t>
      </w:r>
    </w:p>
    <w:p>
      <w:r>
        <w:rPr>
          <w:rFonts w:ascii="Calibri" w:hAnsi="Calibri"/>
          <w:sz w:val="22"/>
        </w:rPr>
        <w:t>Programmatic template standardization—removes unwanted sheets, renames to canonical names, enforces sheet order</w:t>
      </w:r>
    </w:p>
    <w:p/>
    <w:p>
      <w:r>
        <w:rPr>
          <w:rFonts w:ascii="Calibri" w:hAnsi="Calibri"/>
          <w:b/>
          <w:sz w:val="22"/>
        </w:rPr>
        <w:t>Impact:</w:t>
      </w:r>
    </w:p>
    <w:p>
      <w:pPr>
        <w:pStyle w:val="ListBullet"/>
        <w:ind w:left="360"/>
      </w:pPr>
      <w:r>
        <w:rPr>
          <w:sz w:val="22"/>
        </w:rPr>
        <w:t>Consistent output format</w:t>
      </w:r>
    </w:p>
    <w:p>
      <w:pPr>
        <w:pStyle w:val="ListBullet"/>
        <w:ind w:left="360"/>
      </w:pPr>
      <w:r>
        <w:rPr>
          <w:sz w:val="22"/>
        </w:rPr>
        <w:t>No client-specific code paths</w:t>
      </w:r>
    </w:p>
    <w:p>
      <w:pPr>
        <w:pStyle w:val="ListBullet"/>
        <w:ind w:left="360"/>
      </w:pPr>
      <w:r>
        <w:rPr>
          <w:sz w:val="22"/>
        </w:rPr>
        <w:t>Easier QA and validation</w:t>
      </w:r>
    </w:p>
    <w:p/>
    <w:p>
      <w:pPr>
        <w:pStyle w:val="Heading2"/>
      </w:pPr>
      <w:r>
        <w:rPr>
          <w:b/>
          <w:color w:val="0066CC"/>
          <w:sz w:val="36"/>
        </w:rPr>
        <w:t>Enhancement 5: Comprehensive Data Dictionary</w:t>
      </w:r>
    </w:p>
    <w:p>
      <w:r>
        <w:rPr>
          <w:rFonts w:ascii="Calibri" w:hAnsi="Calibri"/>
          <w:b/>
          <w:sz w:val="22"/>
        </w:rPr>
        <w:t>New File:</w:t>
      </w:r>
    </w:p>
    <w:p>
      <w:r>
        <w:rPr>
          <w:rFonts w:ascii="Calibri" w:hAnsi="Calibri"/>
          <w:sz w:val="22"/>
        </w:rPr>
        <w:t>TCO_DATA_DICTIONARY.md - Complete documentation of Excel template structure</w:t>
      </w:r>
    </w:p>
    <w:p/>
    <w:p>
      <w:r>
        <w:rPr>
          <w:rFonts w:ascii="Calibri" w:hAnsi="Calibri"/>
          <w:b/>
          <w:sz w:val="22"/>
        </w:rPr>
        <w:t>Impact:</w:t>
      </w:r>
    </w:p>
    <w:p>
      <w:pPr>
        <w:pStyle w:val="ListBullet"/>
        <w:ind w:left="360"/>
      </w:pPr>
      <w:r>
        <w:rPr>
          <w:sz w:val="22"/>
        </w:rPr>
        <w:t>Faster onboarding for new team members</w:t>
      </w:r>
    </w:p>
    <w:p>
      <w:pPr>
        <w:pStyle w:val="ListBullet"/>
        <w:ind w:left="360"/>
      </w:pPr>
      <w:r>
        <w:rPr>
          <w:sz w:val="22"/>
        </w:rPr>
        <w:t>Easier troubleshooting and debugging</w:t>
      </w:r>
    </w:p>
    <w:p>
      <w:pPr>
        <w:pStyle w:val="ListBullet"/>
        <w:ind w:left="360"/>
      </w:pPr>
      <w:r>
        <w:rPr>
          <w:sz w:val="22"/>
        </w:rPr>
        <w:t>Audit documentation for clients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Why This Solution Is Optimal for Clients</w:t>
      </w:r>
    </w:p>
    <w:p>
      <w:pPr>
        <w:pStyle w:val="Heading2"/>
      </w:pPr>
      <w:r>
        <w:rPr>
          <w:b/>
          <w:color w:val="0066CC"/>
          <w:sz w:val="36"/>
        </w:rPr>
        <w:t>1. Vendor-Agnostic Intelligence</w:t>
      </w:r>
    </w:p>
    <w:p>
      <w:pPr>
        <w:pStyle w:val="ListBullet"/>
        <w:ind w:left="360"/>
      </w:pPr>
      <w:r>
        <w:rPr>
          <w:sz w:val="22"/>
        </w:rPr>
        <w:t>Works with FIS, CSI, Jack Henry, Fiserv, nCino—any vendor</w:t>
      </w:r>
    </w:p>
    <w:p>
      <w:pPr>
        <w:pStyle w:val="ListBullet"/>
        <w:ind w:left="360"/>
      </w:pPr>
      <w:r>
        <w:rPr>
          <w:sz w:val="22"/>
        </w:rPr>
        <w:t>No per-vendor template development needed</w:t>
      </w:r>
    </w:p>
    <w:p>
      <w:pPr>
        <w:pStyle w:val="ListBullet"/>
        <w:ind w:left="360"/>
      </w:pPr>
      <w:r>
        <w:rPr>
          <w:sz w:val="22"/>
        </w:rPr>
        <w:t>Handles format variations automatically through AI semantic understanding</w:t>
      </w:r>
    </w:p>
    <w:p/>
    <w:p>
      <w:pPr>
        <w:pStyle w:val="Heading2"/>
      </w:pPr>
      <w:r>
        <w:rPr>
          <w:b/>
          <w:color w:val="0066CC"/>
          <w:sz w:val="36"/>
        </w:rPr>
        <w:t>2. Scale Without Code</w:t>
      </w:r>
    </w:p>
    <w:p>
      <w:pPr>
        <w:pStyle w:val="ListBullet"/>
        <w:ind w:left="360"/>
      </w:pPr>
      <w:r>
        <w:rPr>
          <w:sz w:val="22"/>
        </w:rPr>
        <w:t>New vendor onboarding: 2-3 hours (vs 2-3 weeks)</w:t>
      </w:r>
    </w:p>
    <w:p>
      <w:pPr>
        <w:pStyle w:val="ListBullet"/>
        <w:ind w:left="360"/>
      </w:pPr>
      <w:r>
        <w:rPr>
          <w:sz w:val="22"/>
        </w:rPr>
        <w:t>Template changes: Automatic adaptation (vs code rewrites)</w:t>
      </w:r>
    </w:p>
    <w:p>
      <w:pPr>
        <w:pStyle w:val="ListBullet"/>
        <w:ind w:left="360"/>
      </w:pPr>
      <w:r>
        <w:rPr>
          <w:sz w:val="22"/>
        </w:rPr>
        <w:t>Volume increases: No additional infrastructure—pure API scaling</w:t>
      </w:r>
    </w:p>
    <w:p/>
    <w:p>
      <w:pPr>
        <w:pStyle w:val="Heading2"/>
      </w:pPr>
      <w:r>
        <w:rPr>
          <w:b/>
          <w:color w:val="0066CC"/>
          <w:sz w:val="36"/>
        </w:rPr>
        <w:t>3. Quality Guarantees</w:t>
      </w:r>
    </w:p>
    <w:p>
      <w:pPr>
        <w:pStyle w:val="ListBullet"/>
        <w:ind w:left="360"/>
      </w:pPr>
      <w:r>
        <w:rPr>
          <w:sz w:val="22"/>
        </w:rPr>
        <w:t>95%+ accuracy validated across 50+ proposals</w:t>
      </w:r>
    </w:p>
    <w:p>
      <w:pPr>
        <w:pStyle w:val="ListBullet"/>
        <w:ind w:left="360"/>
      </w:pPr>
      <w:r>
        <w:rPr>
          <w:sz w:val="22"/>
        </w:rPr>
        <w:t>Confidence-based routing: Only 5-10% require human review</w:t>
      </w:r>
    </w:p>
    <w:p>
      <w:pPr>
        <w:pStyle w:val="ListBullet"/>
        <w:ind w:left="360"/>
      </w:pPr>
      <w:r>
        <w:rPr>
          <w:sz w:val="22"/>
        </w:rPr>
        <w:t>Multi-layer validation catches errors before TCO output</w:t>
      </w:r>
    </w:p>
    <w:p>
      <w:pPr>
        <w:pStyle w:val="ListBullet"/>
        <w:ind w:left="360"/>
      </w:pPr>
      <w:r>
        <w:rPr>
          <w:sz w:val="22"/>
        </w:rPr>
        <w:t>Audit trail: Every extraction traceable to source document</w:t>
      </w:r>
    </w:p>
    <w:p/>
    <w:p>
      <w:pPr>
        <w:pStyle w:val="Heading2"/>
      </w:pPr>
      <w:r>
        <w:rPr>
          <w:b/>
          <w:color w:val="0066CC"/>
          <w:sz w:val="36"/>
        </w:rPr>
        <w:t>4. Strategic Intelligence Layer</w:t>
      </w:r>
    </w:p>
    <w:p>
      <w:pPr>
        <w:pStyle w:val="ListBullet"/>
        <w:ind w:left="360"/>
      </w:pPr>
      <w:r>
        <w:rPr>
          <w:sz w:val="22"/>
        </w:rPr>
        <w:t>Pricing Anomaly Detection: Flags unusual pricing patterns for review</w:t>
      </w:r>
    </w:p>
    <w:p>
      <w:pPr>
        <w:pStyle w:val="ListBullet"/>
        <w:ind w:left="360"/>
      </w:pPr>
      <w:r>
        <w:rPr>
          <w:sz w:val="22"/>
        </w:rPr>
        <w:t>Vendor Benchmarking: Compares pricing across historical proposals</w:t>
      </w:r>
    </w:p>
    <w:p>
      <w:pPr>
        <w:pStyle w:val="ListBullet"/>
        <w:ind w:left="360"/>
      </w:pPr>
      <w:r>
        <w:rPr>
          <w:sz w:val="22"/>
        </w:rPr>
        <w:t>Negotiation Insights: Identifies leverage points (credits, discounts, tiers)</w:t>
      </w:r>
    </w:p>
    <w:p>
      <w:pPr>
        <w:pStyle w:val="ListBullet"/>
        <w:ind w:left="360"/>
      </w:pPr>
      <w:r>
        <w:rPr>
          <w:sz w:val="22"/>
        </w:rPr>
        <w:t>Proposal Quality Scoring: Predicts completeness at intake</w:t>
      </w:r>
    </w:p>
    <w:p/>
    <w:p>
      <w:pPr>
        <w:pStyle w:val="Heading2"/>
      </w:pPr>
      <w:r>
        <w:rPr>
          <w:b/>
          <w:color w:val="0066CC"/>
          <w:sz w:val="36"/>
        </w:rPr>
        <w:t>5. Enterprise-Ready Architecture</w:t>
      </w:r>
    </w:p>
    <w:p>
      <w:pPr>
        <w:pStyle w:val="ListBullet"/>
        <w:ind w:left="360"/>
      </w:pPr>
      <w:r>
        <w:rPr>
          <w:sz w:val="22"/>
        </w:rPr>
        <w:t>Governance: Model versioning, validation protocols, data lineage</w:t>
      </w:r>
    </w:p>
    <w:p>
      <w:pPr>
        <w:pStyle w:val="ListBullet"/>
        <w:ind w:left="360"/>
      </w:pPr>
      <w:r>
        <w:rPr>
          <w:sz w:val="22"/>
        </w:rPr>
        <w:t>Security: API key rotation, encrypted storage, access controls</w:t>
      </w:r>
    </w:p>
    <w:p>
      <w:pPr>
        <w:pStyle w:val="ListBullet"/>
        <w:ind w:left="360"/>
      </w:pPr>
      <w:r>
        <w:rPr>
          <w:sz w:val="22"/>
        </w:rPr>
        <w:t>Compliance: Audit-ready documentation, explainable AI decisions</w:t>
      </w:r>
    </w:p>
    <w:p>
      <w:pPr>
        <w:pStyle w:val="ListBullet"/>
        <w:ind w:left="360"/>
      </w:pPr>
      <w:r>
        <w:rPr>
          <w:sz w:val="22"/>
        </w:rPr>
        <w:t>Monitoring: Error tracking, performance metrics, cost analysis</w:t>
      </w:r>
    </w:p>
    <w:p/>
    <w:p>
      <w:pPr>
        <w:pStyle w:val="Heading2"/>
      </w:pPr>
      <w:r>
        <w:rPr>
          <w:b/>
          <w:color w:val="0066CC"/>
          <w:sz w:val="36"/>
        </w:rPr>
        <w:t>6. Continuous Improvement</w:t>
      </w:r>
    </w:p>
    <w:p>
      <w:pPr>
        <w:pStyle w:val="ListBullet"/>
        <w:ind w:left="360"/>
      </w:pPr>
      <w:r>
        <w:rPr>
          <w:sz w:val="22"/>
        </w:rPr>
        <w:t>Active Learning: Every manual correction trains the system</w:t>
      </w:r>
    </w:p>
    <w:p>
      <w:pPr>
        <w:pStyle w:val="ListBullet"/>
        <w:ind w:left="360"/>
      </w:pPr>
      <w:r>
        <w:rPr>
          <w:sz w:val="22"/>
        </w:rPr>
        <w:t>Error Pattern Analysis: Identifies systematic issues for targeted fixes</w:t>
      </w:r>
    </w:p>
    <w:p>
      <w:pPr>
        <w:pStyle w:val="ListBullet"/>
        <w:ind w:left="360"/>
      </w:pPr>
      <w:r>
        <w:rPr>
          <w:sz w:val="22"/>
        </w:rPr>
        <w:t>Confidence Calibration: Thresholds auto-adjust based on accuracy metrics</w:t>
      </w:r>
    </w:p>
    <w:p>
      <w:pPr>
        <w:pStyle w:val="ListBullet"/>
        <w:ind w:left="360"/>
      </w:pPr>
      <w:r>
        <w:rPr>
          <w:sz w:val="22"/>
        </w:rPr>
        <w:t>Vendor Learning: Context caching improves accuracy on repeat formats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48"/>
        </w:rPr>
        <w:t>Conclusion</w:t>
      </w:r>
    </w:p>
    <w:p>
      <w:r>
        <w:rPr>
          <w:rFonts w:ascii="Calibri" w:hAnsi="Calibri"/>
          <w:sz w:val="24"/>
        </w:rPr>
        <w:t>The TCO Automation Platform represents a transformational leap in procurement analysis efficiency, accuracy, and strategic value. By leveraging state-of-the-art AI technology, we've eliminated 80%+ of manual effort while simultaneously improving data quality and enabling new intelligence capabilities that were previously impossible.</w:t>
      </w:r>
    </w:p>
    <w:p/>
    <w:p>
      <w:pPr>
        <w:pStyle w:val="Heading2"/>
      </w:pPr>
      <w:r>
        <w:rPr>
          <w:b/>
          <w:color w:val="0066CC"/>
          <w:sz w:val="36"/>
        </w:rPr>
        <w:t>Key Takeaways</w:t>
      </w:r>
    </w:p>
    <w:p>
      <w:r>
        <w:rPr>
          <w:rFonts w:ascii="Calibri" w:hAnsi="Calibri"/>
          <w:b/>
          <w:color w:val="008000"/>
          <w:sz w:val="22"/>
        </w:rPr>
        <w:t>✅ Proven Results: 95%+ accuracy across 50+ real proposals</w:t>
      </w:r>
    </w:p>
    <w:p>
      <w:r>
        <w:rPr>
          <w:rFonts w:ascii="Calibri" w:hAnsi="Calibri"/>
          <w:b/>
          <w:color w:val="008000"/>
          <w:sz w:val="22"/>
        </w:rPr>
        <w:t>✅ Dramatic ROI: 657% return, &lt; 1 month payback</w:t>
      </w:r>
    </w:p>
    <w:p>
      <w:r>
        <w:rPr>
          <w:rFonts w:ascii="Calibri" w:hAnsi="Calibri"/>
          <w:b/>
          <w:color w:val="008000"/>
          <w:sz w:val="22"/>
        </w:rPr>
        <w:t>✅ Enterprise-Ready: Scalable, secure, compliant architecture</w:t>
      </w:r>
    </w:p>
    <w:p>
      <w:r>
        <w:rPr>
          <w:rFonts w:ascii="Calibri" w:hAnsi="Calibri"/>
          <w:b/>
          <w:color w:val="008000"/>
          <w:sz w:val="22"/>
        </w:rPr>
        <w:t>✅ Future-Proof: Continuous learning and adaptation</w:t>
      </w:r>
    </w:p>
    <w:p>
      <w:r>
        <w:rPr>
          <w:rFonts w:ascii="Calibri" w:hAnsi="Calibri"/>
          <w:b/>
          <w:color w:val="008000"/>
          <w:sz w:val="22"/>
        </w:rPr>
        <w:t>✅ Client-Optimal: Vendor-agnostic, format-flexible, intelligence-driven</w:t>
      </w:r>
    </w:p>
    <w:p/>
    <w:p/>
    <w:p>
      <w:r>
        <w:rPr>
          <w:rFonts w:ascii="Calibri" w:hAnsi="Calibri"/>
          <w:i/>
          <w:color w:val="003366"/>
          <w:sz w:val="24"/>
        </w:rPr>
        <w:t>This solution transforms TCO analysis from a cost center to a strategic advantage—faster vendor evaluations, better negotiations, and smarter procurement decisions powered by AI.</w:t>
      </w:r>
    </w:p>
    <w:p/>
    <w:p/>
    <w:p>
      <w:pPr>
        <w:jc w:val="center"/>
      </w:pPr>
      <w:r>
        <w:rPr>
          <w:i/>
          <w:sz w:val="20"/>
        </w:rPr>
        <w:t>Document Prepared By: TCO Automation Team</w:t>
        <w:br/>
        <w:t>Date: December 19, 2025</w:t>
        <w:br/>
        <w:t>Version: 2.0 (Solution-Based Report)</w:t>
      </w:r>
    </w:p>
    <w:p/>
    <w:p>
      <w:pPr>
        <w:jc w:val="center"/>
      </w:pPr>
      <w:r>
        <w:rPr>
          <w:b/>
          <w:color w:val="CC0000"/>
          <w:sz w:val="20"/>
        </w:rPr>
        <w:t>Confidential - For Client Review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