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CSI Core Banking Services</w:t>
      </w:r>
    </w:p>
    <w:p>
      <w:r>
        <w:t>Prepared for: Commerce First Bank</w:t>
      </w:r>
    </w:p>
    <w:p>
      <w:r>
        <w:t>Prepared by: Computer Services, Inc.</w:t>
      </w:r>
    </w:p>
    <w:p>
      <w:r>
        <w:t>Date: February 2025</w:t>
      </w:r>
    </w:p>
    <w:p>
      <w:r>
        <w:t>Asset Size: $650 Million</w:t>
      </w:r>
    </w:p>
    <w:p/>
    <w:p>
      <w:pPr>
        <w:pStyle w:val="Heading1"/>
      </w:pPr>
      <w:r>
        <w:t>NuPoint Platform Overview</w:t>
      </w:r>
    </w:p>
    <w:p>
      <w:r>
        <w:t>CSI proposes our award-winning NuPoint cloud core banking platform for Commerce First Bank. This solution provides modern architecture with open APIs and comprehensive digital banking capabilities.</w:t>
      </w:r>
    </w:p>
    <w:p>
      <w:pPr>
        <w:pStyle w:val="Heading1"/>
      </w:pPr>
      <w:r>
        <w:t>Core Platform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NuPoint Core Engine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$18,500.00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Digital Banking Platform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$8,200.00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Mobile Banking Suite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$4,800.00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Document Management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$3,600.00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Reporting &amp; Analytics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$2,900.00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Security &amp; Compliance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$2,200.00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Integration Layer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$1,600.00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BUNDLE 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$41,800.00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Required Transaction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Base Monthly</w:t>
            </w:r>
          </w:p>
        </w:tc>
        <w:tc>
          <w:tcPr>
            <w:tcW w:type="dxa" w:w="2160"/>
          </w:tcPr>
          <w:p>
            <w:r>
              <w:t>Per-Item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ACH Processing</w:t>
            </w:r>
          </w:p>
        </w:tc>
        <w:tc>
          <w:tcPr>
            <w:tcW w:type="dxa" w:w="2160"/>
          </w:tcPr>
          <w:p>
            <w:r>
              <w:t>$820.00</w:t>
            </w:r>
          </w:p>
        </w:tc>
        <w:tc>
          <w:tcPr>
            <w:tcW w:type="dxa" w:w="2160"/>
          </w:tcPr>
          <w:p>
            <w:r>
              <w:t>$0.055/item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Wire Services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  <w:tc>
          <w:tcPr>
            <w:tcW w:type="dxa" w:w="2160"/>
          </w:tcPr>
          <w:p>
            <w:r>
              <w:t>$12.50/wire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Remote Deposit</w:t>
            </w:r>
          </w:p>
        </w:tc>
        <w:tc>
          <w:tcPr>
            <w:tcW w:type="dxa" w:w="2160"/>
          </w:tcPr>
          <w:p>
            <w:r>
              <w:t>$625.00</w:t>
            </w:r>
          </w:p>
        </w:tc>
        <w:tc>
          <w:tcPr>
            <w:tcW w:type="dxa" w:w="2160"/>
          </w:tcPr>
          <w:p>
            <w:r>
              <w:t>$0.07/dep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Positive Pay</w:t>
            </w:r>
          </w:p>
        </w:tc>
        <w:tc>
          <w:tcPr>
            <w:tcW w:type="dxa" w:w="2160"/>
          </w:tcPr>
          <w:p>
            <w:r>
              <w:t>$385.00</w:t>
            </w:r>
          </w:p>
        </w:tc>
        <w:tc>
          <w:tcPr>
            <w:tcW w:type="dxa" w:w="2160"/>
          </w:tcPr>
          <w:p>
            <w:r>
              <w:t>$0.04/item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Bill Pay</w:t>
            </w:r>
          </w:p>
        </w:tc>
        <w:tc>
          <w:tcPr>
            <w:tcW w:type="dxa" w:w="2160"/>
          </w:tcPr>
          <w:p>
            <w:r>
              <w:t>$340.00</w:t>
            </w:r>
          </w:p>
        </w:tc>
        <w:tc>
          <w:tcPr>
            <w:tcW w:type="dxa" w:w="2160"/>
          </w:tcPr>
          <w:p>
            <w:r>
              <w:t>$0.28/pmt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eStatements</w:t>
            </w:r>
          </w:p>
        </w:tc>
        <w:tc>
          <w:tcPr>
            <w:tcW w:type="dxa" w:w="2160"/>
          </w:tcPr>
          <w:p>
            <w:r>
              <w:t>$275.00</w:t>
            </w:r>
          </w:p>
        </w:tc>
        <w:tc>
          <w:tcPr>
            <w:tcW w:type="dxa" w:w="2160"/>
          </w:tcPr>
          <w:p>
            <w:r>
              <w:t>$0.09/stmt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</w:tr>
      <w:tr>
        <w:tc>
          <w:tcPr>
            <w:tcW w:type="dxa" w:w="2160"/>
          </w:tcPr>
          <w:p>
            <w:r>
              <w:t>REQUIRED TOTAL</w:t>
            </w:r>
          </w:p>
        </w:tc>
        <w:tc>
          <w:tcPr>
            <w:tcW w:type="dxa" w:w="2160"/>
          </w:tcPr>
          <w:p>
            <w:r>
              <w:t>$2,895.00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Optional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  <w:tr>
        <w:tc>
          <w:tcPr>
            <w:tcW w:type="dxa" w:w="2880"/>
          </w:tcPr>
          <w:p>
            <w:r>
              <w:t>Treasury Management Suite</w:t>
            </w:r>
          </w:p>
        </w:tc>
        <w:tc>
          <w:tcPr>
            <w:tcW w:type="dxa" w:w="2880"/>
          </w:tcPr>
          <w:p>
            <w:r>
              <w:t>$1,650.00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Commercial Lockbox</w:t>
            </w:r>
          </w:p>
        </w:tc>
        <w:tc>
          <w:tcPr>
            <w:tcW w:type="dxa" w:w="2880"/>
          </w:tcPr>
          <w:p>
            <w:r>
              <w:t>$1,350.00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International Services</w:t>
            </w:r>
          </w:p>
        </w:tc>
        <w:tc>
          <w:tcPr>
            <w:tcW w:type="dxa" w:w="2880"/>
          </w:tcPr>
          <w:p>
            <w:r>
              <w:t>$520.00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Advanced Fraud AI</w:t>
            </w:r>
          </w:p>
        </w:tc>
        <w:tc>
          <w:tcPr>
            <w:tcW w:type="dxa" w:w="2880"/>
          </w:tcPr>
          <w:p>
            <w:r>
              <w:t>$580.00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API Developer Access</w:t>
            </w:r>
          </w:p>
        </w:tc>
        <w:tc>
          <w:tcPr>
            <w:tcW w:type="dxa" w:w="2880"/>
          </w:tcPr>
          <w:p>
            <w:r>
              <w:t>$875.00</w:t>
            </w:r>
          </w:p>
        </w:tc>
        <w:tc>
          <w:tcPr>
            <w:tcW w:type="dxa" w:w="2880"/>
          </w:tcPr>
          <w:p>
            <w:r>
              <w:t>Non-Bundle Optional</w:t>
            </w:r>
          </w:p>
        </w:tc>
      </w:tr>
      <w:tr>
        <w:tc>
          <w:tcPr>
            <w:tcW w:type="dxa" w:w="2880"/>
          </w:tcPr>
          <w:p>
            <w:r>
              <w:t>OPTIONAL TOTAL</w:t>
            </w:r>
          </w:p>
        </w:tc>
        <w:tc>
          <w:tcPr>
            <w:tcW w:type="dxa" w:w="2880"/>
          </w:tcPr>
          <w:p>
            <w:r>
              <w:t>$4,975.00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Core Implementation</w:t>
            </w:r>
          </w:p>
        </w:tc>
        <w:tc>
          <w:tcPr>
            <w:tcW w:type="dxa" w:w="4320"/>
          </w:tcPr>
          <w:p>
            <w:r>
              <w:t>$145,000.00</w:t>
            </w:r>
          </w:p>
        </w:tc>
      </w:tr>
      <w:tr>
        <w:tc>
          <w:tcPr>
            <w:tcW w:type="dxa" w:w="4320"/>
          </w:tcPr>
          <w:p>
            <w:r>
              <w:t>Data Migration</w:t>
            </w:r>
          </w:p>
        </w:tc>
        <w:tc>
          <w:tcPr>
            <w:tcW w:type="dxa" w:w="4320"/>
          </w:tcPr>
          <w:p>
            <w:r>
              <w:t>$48,000.00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$18,500.00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$22,000.00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$28,000.00</w:t>
            </w:r>
          </w:p>
        </w:tc>
      </w:tr>
      <w:tr>
        <w:tc>
          <w:tcPr>
            <w:tcW w:type="dxa" w:w="4320"/>
          </w:tcPr>
          <w:p>
            <w:r>
              <w:t>Signing Incentive</w:t>
            </w:r>
          </w:p>
        </w:tc>
        <w:tc>
          <w:tcPr>
            <w:tcW w:type="dxa" w:w="4320"/>
          </w:tcPr>
          <w:p>
            <w:r>
              <w:t>($35,000.00)</w:t>
            </w:r>
          </w:p>
        </w:tc>
      </w:tr>
    </w:tbl>
    <w:p>
      <w:r>
        <w:t>Net Implementation: $226,500.00</w:t>
      </w:r>
    </w:p>
    <w:p>
      <w:pPr>
        <w:pStyle w:val="Heading1"/>
      </w:pPr>
      <w:r>
        <w:t>Terms</w:t>
      </w:r>
    </w:p>
    <w:p>
      <w:r>
        <w:t>Recommended Term: 7 Years</w:t>
      </w:r>
    </w:p>
    <w:p>
      <w:r>
        <w:t>Annual Increase: 4% Bundle, 3% Services</w:t>
      </w:r>
    </w:p>
    <w:p>
      <w:r>
        <w:t>Hosting: CSI Managed Cloud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