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 Banking Services Proposal</w:t>
      </w:r>
    </w:p>
    <w:p>
      <w:r>
        <w:t>Prepared for: Valley State Bank</w:t>
      </w:r>
    </w:p>
    <w:p>
      <w:r>
        <w:t>Vendor: FIS Global</w:t>
      </w:r>
    </w:p>
    <w:p>
      <w:r>
        <w:t>Date: February 2025</w:t>
      </w:r>
    </w:p>
    <w:p/>
    <w:p>
      <w:pPr>
        <w:pStyle w:val="Heading1"/>
      </w:pPr>
      <w:r>
        <w:t>Executive Summary</w:t>
      </w:r>
    </w:p>
    <w:p>
      <w:r>
        <w:t>FIS Global presents this proposal for comprehensive core banking services to Valley State Bank, a $450M asset community bank. The proposed solution leverages our proven HORIZON platform with tailored digital banking capabilities.</w:t>
      </w:r>
    </w:p>
    <w:p>
      <w:pPr>
        <w:pStyle w:val="Heading1"/>
      </w:pPr>
      <w:r>
        <w:t>Bundle Pricing - 7 Year Term (Recommended)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Solution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Monthly Fee</w:t>
            </w:r>
          </w:p>
        </w:tc>
        <w:tc>
          <w:tcPr>
            <w:tcW w:type="dxa" w:w="2160"/>
          </w:tcPr>
          <w:p>
            <w:r>
              <w:t>Fee Type</w:t>
            </w:r>
          </w:p>
        </w:tc>
      </w:tr>
      <w:tr>
        <w:tc>
          <w:tcPr>
            <w:tcW w:type="dxa" w:w="2160"/>
          </w:tcPr>
          <w:p>
            <w:r>
              <w:t>HORIZON Core Platform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$12,800.00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Digital One Online Banking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$7,500.00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Payments One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$5,200.00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ImageCentre Document Mgmt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$3,800.00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Analytics Dashboard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$2,100.00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Compliance Manager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$1,400.00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BUNDLE 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$32,800.00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Non-Bundle Required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Monthly Base</w:t>
            </w:r>
          </w:p>
        </w:tc>
        <w:tc>
          <w:tcPr>
            <w:tcW w:type="dxa" w:w="2160"/>
          </w:tcPr>
          <w:p>
            <w:r>
              <w:t>Per-Item Fee</w:t>
            </w:r>
          </w:p>
        </w:tc>
        <w:tc>
          <w:tcPr>
            <w:tcW w:type="dxa" w:w="2160"/>
          </w:tcPr>
          <w:p>
            <w:r>
              <w:t>Fee Type</w:t>
            </w:r>
          </w:p>
        </w:tc>
      </w:tr>
      <w:tr>
        <w:tc>
          <w:tcPr>
            <w:tcW w:type="dxa" w:w="2160"/>
          </w:tcPr>
          <w:p>
            <w:r>
              <w:t>ACH Processing</w:t>
            </w:r>
          </w:p>
        </w:tc>
        <w:tc>
          <w:tcPr>
            <w:tcW w:type="dxa" w:w="2160"/>
          </w:tcPr>
          <w:p>
            <w:r>
              <w:t>$750.00</w:t>
            </w:r>
          </w:p>
        </w:tc>
        <w:tc>
          <w:tcPr>
            <w:tcW w:type="dxa" w:w="2160"/>
          </w:tcPr>
          <w:p>
            <w:r>
              <w:t>$0.07/item</w:t>
            </w:r>
          </w:p>
        </w:tc>
        <w:tc>
          <w:tcPr>
            <w:tcW w:type="dxa" w:w="2160"/>
          </w:tcPr>
          <w:p>
            <w:r>
              <w:t>Monthly V</w:t>
            </w:r>
          </w:p>
        </w:tc>
      </w:tr>
      <w:tr>
        <w:tc>
          <w:tcPr>
            <w:tcW w:type="dxa" w:w="2160"/>
          </w:tcPr>
          <w:p>
            <w:r>
              <w:t>Wire Services</w:t>
            </w:r>
          </w:p>
        </w:tc>
        <w:tc>
          <w:tcPr>
            <w:tcW w:type="dxa" w:w="2160"/>
          </w:tcPr>
          <w:p>
            <w:r>
              <w:t>$425.00</w:t>
            </w:r>
          </w:p>
        </w:tc>
        <w:tc>
          <w:tcPr>
            <w:tcW w:type="dxa" w:w="2160"/>
          </w:tcPr>
          <w:p>
            <w:r>
              <w:t>$15.00/domestic</w:t>
            </w:r>
          </w:p>
        </w:tc>
        <w:tc>
          <w:tcPr>
            <w:tcW w:type="dxa" w:w="2160"/>
          </w:tcPr>
          <w:p>
            <w:r>
              <w:t>Monthly V</w:t>
            </w:r>
          </w:p>
        </w:tc>
      </w:tr>
      <w:tr>
        <w:tc>
          <w:tcPr>
            <w:tcW w:type="dxa" w:w="2160"/>
          </w:tcPr>
          <w:p>
            <w:r>
              <w:t>Remote Deposit</w:t>
            </w:r>
          </w:p>
        </w:tc>
        <w:tc>
          <w:tcPr>
            <w:tcW w:type="dxa" w:w="2160"/>
          </w:tcPr>
          <w:p>
            <w:r>
              <w:t>$575.00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Positive Pay</w:t>
            </w:r>
          </w:p>
        </w:tc>
        <w:tc>
          <w:tcPr>
            <w:tcW w:type="dxa" w:w="2160"/>
          </w:tcPr>
          <w:p>
            <w:r>
              <w:t>$350.00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Mobile Banking App</w:t>
            </w:r>
          </w:p>
        </w:tc>
        <w:tc>
          <w:tcPr>
            <w:tcW w:type="dxa" w:w="2160"/>
          </w:tcPr>
          <w:p>
            <w:r>
              <w:t>$1,100.00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Monthly F</w:t>
            </w:r>
          </w:p>
        </w:tc>
      </w:tr>
      <w:tr>
        <w:tc>
          <w:tcPr>
            <w:tcW w:type="dxa" w:w="2160"/>
          </w:tcPr>
          <w:p>
            <w:r>
              <w:t>Bill Payment</w:t>
            </w:r>
          </w:p>
        </w:tc>
        <w:tc>
          <w:tcPr>
            <w:tcW w:type="dxa" w:w="2160"/>
          </w:tcPr>
          <w:p>
            <w:r>
              <w:t>$275.00</w:t>
            </w:r>
          </w:p>
        </w:tc>
        <w:tc>
          <w:tcPr>
            <w:tcW w:type="dxa" w:w="2160"/>
          </w:tcPr>
          <w:p>
            <w:r>
              <w:t>$0.32/payment</w:t>
            </w:r>
          </w:p>
        </w:tc>
        <w:tc>
          <w:tcPr>
            <w:tcW w:type="dxa" w:w="2160"/>
          </w:tcPr>
          <w:p>
            <w:r>
              <w:t>Monthly V</w:t>
            </w:r>
          </w:p>
        </w:tc>
      </w:tr>
    </w:tbl>
    <w:p>
      <w:r>
        <w:t>Non-Bundle Required Total: $3,475.00/month</w:t>
      </w:r>
    </w:p>
    <w:p>
      <w:pPr>
        <w:pStyle w:val="Heading1"/>
      </w:pPr>
      <w:r>
        <w:t>Optional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Monthly Fee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Commercial Lockbox</w:t>
            </w:r>
          </w:p>
        </w:tc>
        <w:tc>
          <w:tcPr>
            <w:tcW w:type="dxa" w:w="2880"/>
          </w:tcPr>
          <w:p>
            <w:r>
              <w:t>$1,400.00</w:t>
            </w:r>
          </w:p>
        </w:tc>
        <w:tc>
          <w:tcPr>
            <w:tcW w:type="dxa" w:w="2880"/>
          </w:tcPr>
          <w:p>
            <w:r>
              <w:t>Plus $0.45/item</w:t>
            </w:r>
          </w:p>
        </w:tc>
      </w:tr>
      <w:tr>
        <w:tc>
          <w:tcPr>
            <w:tcW w:type="dxa" w:w="2880"/>
          </w:tcPr>
          <w:p>
            <w:r>
              <w:t>International Wires</w:t>
            </w:r>
          </w:p>
        </w:tc>
        <w:tc>
          <w:tcPr>
            <w:tcW w:type="dxa" w:w="2880"/>
          </w:tcPr>
          <w:p>
            <w:r>
              <w:t>$300.00</w:t>
            </w:r>
          </w:p>
        </w:tc>
        <w:tc>
          <w:tcPr>
            <w:tcW w:type="dxa" w:w="2880"/>
          </w:tcPr>
          <w:p>
            <w:r>
              <w:t>Plus $35/wire</w:t>
            </w:r>
          </w:p>
        </w:tc>
      </w:tr>
      <w:tr>
        <w:tc>
          <w:tcPr>
            <w:tcW w:type="dxa" w:w="2880"/>
          </w:tcPr>
          <w:p>
            <w:r>
              <w:t>API Gateway Access</w:t>
            </w:r>
          </w:p>
        </w:tc>
        <w:tc>
          <w:tcPr>
            <w:tcW w:type="dxa" w:w="2880"/>
          </w:tcPr>
          <w:p>
            <w:r>
              <w:t>$800.00</w:t>
            </w:r>
          </w:p>
        </w:tc>
        <w:tc>
          <w:tcPr>
            <w:tcW w:type="dxa" w:w="2880"/>
          </w:tcPr>
          <w:p>
            <w:r>
              <w:t>Up to 50,000 calls</w:t>
            </w:r>
          </w:p>
        </w:tc>
      </w:tr>
      <w:tr>
        <w:tc>
          <w:tcPr>
            <w:tcW w:type="dxa" w:w="2880"/>
          </w:tcPr>
          <w:p>
            <w:r>
              <w:t>Fraud Analytics Pro</w:t>
            </w:r>
          </w:p>
        </w:tc>
        <w:tc>
          <w:tcPr>
            <w:tcW w:type="dxa" w:w="2880"/>
          </w:tcPr>
          <w:p>
            <w:r>
              <w:t>$525.00</w:t>
            </w:r>
          </w:p>
        </w:tc>
        <w:tc>
          <w:tcPr>
            <w:tcW w:type="dxa" w:w="2880"/>
          </w:tcPr>
          <w:p>
            <w:r>
              <w:t>Real-time monitoring</w:t>
            </w:r>
          </w:p>
        </w:tc>
      </w:tr>
      <w:tr>
        <w:tc>
          <w:tcPr>
            <w:tcW w:type="dxa" w:w="2880"/>
          </w:tcPr>
          <w:p>
            <w:r>
              <w:t>Extended Support</w:t>
            </w:r>
          </w:p>
        </w:tc>
        <w:tc>
          <w:tcPr>
            <w:tcW w:type="dxa" w:w="2880"/>
          </w:tcPr>
          <w:p>
            <w:r>
              <w:t>$375.00</w:t>
            </w:r>
          </w:p>
        </w:tc>
        <w:tc>
          <w:tcPr>
            <w:tcW w:type="dxa" w:w="2880"/>
          </w:tcPr>
          <w:p>
            <w:r>
              <w:t>24/7 coverage</w:t>
            </w:r>
          </w:p>
        </w:tc>
      </w:tr>
    </w:tbl>
    <w:p>
      <w:pPr>
        <w:pStyle w:val="Heading1"/>
      </w:pPr>
      <w:r>
        <w:t>Implementation Costs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One-Time Fee</w:t>
            </w:r>
          </w:p>
        </w:tc>
      </w:tr>
      <w:tr>
        <w:tc>
          <w:tcPr>
            <w:tcW w:type="dxa" w:w="4320"/>
          </w:tcPr>
          <w:p>
            <w:r>
              <w:t>Core Implementation</w:t>
            </w:r>
          </w:p>
        </w:tc>
        <w:tc>
          <w:tcPr>
            <w:tcW w:type="dxa" w:w="4320"/>
          </w:tcPr>
          <w:p>
            <w:r>
              <w:t>$98,000.00</w:t>
            </w:r>
          </w:p>
        </w:tc>
      </w:tr>
      <w:tr>
        <w:tc>
          <w:tcPr>
            <w:tcW w:type="dxa" w:w="4320"/>
          </w:tcPr>
          <w:p>
            <w:r>
              <w:t>Data Migration</w:t>
            </w:r>
          </w:p>
        </w:tc>
        <w:tc>
          <w:tcPr>
            <w:tcW w:type="dxa" w:w="4320"/>
          </w:tcPr>
          <w:p>
            <w:r>
              <w:t>$35,000.00</w:t>
            </w:r>
          </w:p>
        </w:tc>
      </w:tr>
      <w:tr>
        <w:tc>
          <w:tcPr>
            <w:tcW w:type="dxa" w:w="4320"/>
          </w:tcPr>
          <w:p>
            <w:r>
              <w:t>Training Package</w:t>
            </w:r>
          </w:p>
        </w:tc>
        <w:tc>
          <w:tcPr>
            <w:tcW w:type="dxa" w:w="4320"/>
          </w:tcPr>
          <w:p>
            <w:r>
              <w:t>$15,000.00</w:t>
            </w:r>
          </w:p>
        </w:tc>
      </w:tr>
      <w:tr>
        <w:tc>
          <w:tcPr>
            <w:tcW w:type="dxa" w:w="4320"/>
          </w:tcPr>
          <w:p>
            <w:r>
              <w:t>Project Management</w:t>
            </w:r>
          </w:p>
        </w:tc>
        <w:tc>
          <w:tcPr>
            <w:tcW w:type="dxa" w:w="4320"/>
          </w:tcPr>
          <w:p>
            <w:r>
              <w:t>$18,000.00</w:t>
            </w:r>
          </w:p>
        </w:tc>
      </w:tr>
      <w:tr>
        <w:tc>
          <w:tcPr>
            <w:tcW w:type="dxa" w:w="4320"/>
          </w:tcPr>
          <w:p>
            <w:r>
              <w:t>Conversion Credit</w:t>
            </w:r>
          </w:p>
        </w:tc>
        <w:tc>
          <w:tcPr>
            <w:tcW w:type="dxa" w:w="4320"/>
          </w:tcPr>
          <w:p>
            <w:r>
              <w:t>($25,000.00)</w:t>
            </w:r>
          </w:p>
        </w:tc>
      </w:tr>
    </w:tbl>
    <w:p>
      <w:r>
        <w:t>Implementation Total: $141,000.00</w:t>
      </w:r>
    </w:p>
    <w:p>
      <w:pPr>
        <w:pStyle w:val="Heading1"/>
      </w:pPr>
      <w:r>
        <w:t>Terms</w:t>
      </w:r>
    </w:p>
    <w:p>
      <w:r>
        <w:t>Contract Term: 7 Years</w:t>
      </w:r>
    </w:p>
    <w:p>
      <w:r>
        <w:t>Annual CPI: 5% Bundle, 3% Non-Bundle</w:t>
      </w:r>
    </w:p>
    <w:p>
      <w:r>
        <w:t>Early Termination: 75% of remaining contract value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