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Finastra Fusion Banking Platform</w:t>
      </w:r>
    </w:p>
    <w:p>
      <w:r>
        <w:t>Proposal for: Gateway Community Bank</w:t>
      </w:r>
    </w:p>
    <w:p>
      <w:r>
        <w:t>Prepared by: Finastra</w:t>
      </w:r>
    </w:p>
    <w:p>
      <w:r>
        <w:t>Date: January 2025</w:t>
      </w:r>
    </w:p>
    <w:p/>
    <w:p>
      <w:pPr>
        <w:pStyle w:val="Heading1"/>
      </w:pPr>
      <w:r>
        <w:t>Fusion Platform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Solution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Fusion Core Banking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$22,400.00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Fusion Digital Banking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$9,800.00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Fusion Mobile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$5,600.00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Fusion Payments Hub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$7,200.00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Fusion Document Mgmt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$4,100.00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Fusion Analytics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$3,400.00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BUNDLE 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$52,500.00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Transaction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Per-Item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ACH Processing</w:t>
            </w:r>
          </w:p>
        </w:tc>
        <w:tc>
          <w:tcPr>
            <w:tcW w:type="dxa" w:w="2160"/>
          </w:tcPr>
          <w:p>
            <w:r>
              <w:t>$980.00</w:t>
            </w:r>
          </w:p>
        </w:tc>
        <w:tc>
          <w:tcPr>
            <w:tcW w:type="dxa" w:w="2160"/>
          </w:tcPr>
          <w:p>
            <w:r>
              <w:t>$0.072/item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Wire Services</w:t>
            </w:r>
          </w:p>
        </w:tc>
        <w:tc>
          <w:tcPr>
            <w:tcW w:type="dxa" w:w="2160"/>
          </w:tcPr>
          <w:p>
            <w:r>
              <w:t>$580.00</w:t>
            </w:r>
          </w:p>
        </w:tc>
        <w:tc>
          <w:tcPr>
            <w:tcW w:type="dxa" w:w="2160"/>
          </w:tcPr>
          <w:p>
            <w:r>
              <w:t>$14.50/wire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Remote Deposit</w:t>
            </w:r>
          </w:p>
        </w:tc>
        <w:tc>
          <w:tcPr>
            <w:tcW w:type="dxa" w:w="2160"/>
          </w:tcPr>
          <w:p>
            <w:r>
              <w:t>$720.00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Positive Pay</w:t>
            </w:r>
          </w:p>
        </w:tc>
        <w:tc>
          <w:tcPr>
            <w:tcW w:type="dxa" w:w="2160"/>
          </w:tcPr>
          <w:p>
            <w:r>
              <w:t>$425.00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Bill Pay</w:t>
            </w:r>
          </w:p>
        </w:tc>
        <w:tc>
          <w:tcPr>
            <w:tcW w:type="dxa" w:w="2160"/>
          </w:tcPr>
          <w:p>
            <w:r>
              <w:t>$380.00</w:t>
            </w:r>
          </w:p>
        </w:tc>
        <w:tc>
          <w:tcPr>
            <w:tcW w:type="dxa" w:w="2160"/>
          </w:tcPr>
          <w:p>
            <w:r>
              <w:t>$0.32/pmt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SERVICES TOTAL</w:t>
            </w:r>
          </w:p>
        </w:tc>
        <w:tc>
          <w:tcPr>
            <w:tcW w:type="dxa" w:w="2160"/>
          </w:tcPr>
          <w:p>
            <w:r>
              <w:t>$3,085.00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Implementation</w:t>
      </w:r>
    </w:p>
    <w:p>
      <w:r>
        <w:t>Core Implementation: $165,000.00</w:t>
      </w:r>
    </w:p>
    <w:p>
      <w:r>
        <w:t>Data Migration: $55,000.00</w:t>
      </w:r>
    </w:p>
    <w:p>
      <w:r>
        <w:t>Training: $22,000.00</w:t>
      </w:r>
    </w:p>
    <w:p>
      <w:r>
        <w:t>Project Management: $28,000.00</w:t>
      </w:r>
    </w:p>
    <w:p>
      <w:r>
        <w:t>New Customer Credit: ($45,000.00)</w:t>
      </w:r>
    </w:p>
    <w:p>
      <w:r>
        <w:t>Net Implementation: $225,000.00</w:t>
      </w:r>
    </w:p>
    <w:p>
      <w:pPr>
        <w:pStyle w:val="Heading1"/>
      </w:pPr>
      <w:r>
        <w:t>Terms</w:t>
      </w:r>
    </w:p>
    <w:p>
      <w:r>
        <w:t>Contract Term: 7 Years</w:t>
      </w:r>
    </w:p>
    <w:p>
      <w:r>
        <w:t>Annual Increase: 5% Bundle, 3%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