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tbl>
      <w:tblPr>
        <w:tblW w:w="0" w:type="auto"/>
        <w:jc w:val="left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200" w:type="dxa"/>
          <w:left w:w="130" w:type="dxa"/>
          <w:bottom w:w="200" w:type="dxa"/>
          <w:right w:w="130" w:type="dxa"/>
        </w:tblCellMar>
      </w:tblPr>
      <w:tblGrid>
        <w:gridCol w:w="2340"/>
        <w:gridCol w:w="2340"/>
        <w:gridCol w:w="2340"/>
        <w:gridCol w:w="2340"/>
      </w:tblGrid>
      <w:tr>
        <w:trPr>
          <w:tblHeader/>
        </w:trPr>
        <w:tc>
          <w:tcPr>
            <w:tcW w:w="2340" w:type="dxa"/>
            <w:shd w:val="clear" w:fill="FA8D3D"/>
            <w:vAlign w:val="top"/>
          </w:tcPr>
          <w:p>
            <w:pPr>
              <w:pStyle w:val="Normal"/>
              <w:rPr>
                <w:b/>
                <w:lang w:val="en-GB" w:eastAsia="en-GB" w:bidi="en-GB"/>
              </w:rPr>
            </w:pPr>
            <w:r>
              <w:rPr>
                <w:b/>
                <w:lang w:val="en-GB" w:eastAsia="en-GB" w:bidi="en-GB"/>
              </w:rPr>
              <w:t xml:space="preserve">SalesOrderID</w:t>
            </w:r>
          </w:p>
        </w:tc>
        <w:tc>
          <w:tcPr>
            <w:tcW w:w="2340" w:type="dxa"/>
            <w:shd w:val="clear" w:fill="FA8D3D"/>
            <w:vAlign w:val="top"/>
          </w:tcPr>
          <w:p>
            <w:pPr>
              <w:pStyle w:val="Normal"/>
              <w:rPr>
                <w:b/>
                <w:lang w:val="en-GB" w:eastAsia="en-GB" w:bidi="en-GB"/>
              </w:rPr>
            </w:pPr>
            <w:r>
              <w:rPr>
                <w:b/>
                <w:lang w:val="en-GB" w:eastAsia="en-GB" w:bidi="en-GB"/>
              </w:rPr>
              <w:t xml:space="preserve">OrderQty</w:t>
            </w:r>
          </w:p>
        </w:tc>
        <w:tc>
          <w:tcPr>
            <w:tcW w:w="2340" w:type="dxa"/>
            <w:shd w:val="clear" w:fill="FA8D3D"/>
            <w:vAlign w:val="top"/>
          </w:tcPr>
          <w:p>
            <w:pPr>
              <w:pStyle w:val="Normal"/>
              <w:rPr>
                <w:b/>
                <w:lang w:val="en-GB" w:eastAsia="en-GB" w:bidi="en-GB"/>
              </w:rPr>
            </w:pPr>
            <w:r>
              <w:rPr>
                <w:b/>
                <w:lang w:val="en-GB" w:eastAsia="en-GB" w:bidi="en-GB"/>
              </w:rPr>
              <w:t xml:space="preserve">UnitPrice</w:t>
            </w:r>
          </w:p>
        </w:tc>
        <w:tc>
          <w:tcPr>
            <w:tcW w:w="2340" w:type="dxa"/>
            <w:shd w:val="clear" w:fill="FA8D3D"/>
            <w:vAlign w:val="top"/>
          </w:tcPr>
          <w:p>
            <w:pPr>
              <w:pStyle w:val="Normal"/>
              <w:rPr>
                <w:b/>
                <w:lang w:val="en-GB" w:eastAsia="en-GB" w:bidi="en-GB"/>
              </w:rPr>
            </w:pPr>
            <w:r>
              <w:rPr>
                <w:b/>
                <w:lang w:val="en-GB" w:eastAsia="en-GB" w:bidi="en-GB"/>
              </w:rPr>
              <w:t xml:space="preserve">LineTotal</w:t>
            </w:r>
          </w:p>
        </w:tc>
      </w:tr>
      <w:tr>
        <w:tc>
          <w:tcPr>
            <w:tcW w:w="234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lang w:val="en-GB" w:eastAsia="en-GB" w:bidi="en-GB"/>
              </w:rPr>
            </w:pPr>
            <w:bookmarkStart w:id="0" w:name="BlockStart_Sales_SalesOrderDetail"/>
            <w:bookmarkEnd w:id="0"/>
            <w:r>
              <w:rPr>
                <w:lang w:val="en-GB" w:eastAsia="en-GB" w:bidi="en-GB"/>
              </w:rPr>
              <w:fldChar w:fldCharType="begin"/>
            </w:r>
            <w:r>
              <w:rPr>
                <w:lang w:val="en-GB" w:eastAsia="en-GB" w:bidi="en-GB"/>
              </w:rPr>
              <w:instrText xml:space="preserve"> MERGEFIELD SalesOrderID </w:instrText>
            </w:r>
            <w:r>
              <w:rPr>
                <w:lang w:val="en-GB" w:eastAsia="en-GB" w:bidi="en-GB"/>
              </w:rPr>
              <w:fldChar w:fldCharType="separate"/>
            </w:r>
            <w:r>
              <w:rPr>
                <w:lang w:val="en-GB" w:eastAsia="en-GB" w:bidi="en-GB"/>
              </w:rPr>
              <w:t xml:space="preserve">«SalesOrderID»</w:t>
            </w:r>
            <w:r>
              <w:rPr>
                <w:lang w:val="en-GB" w:eastAsia="en-GB" w:bidi="en-GB"/>
              </w:rPr>
              <w:fldChar w:fldCharType="end"/>
            </w:r>
          </w:p>
        </w:tc>
        <w:tc>
          <w:tcPr>
            <w:tcW w:w="234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lang w:val="en-GB" w:eastAsia="en-GB" w:bidi="en-GB"/>
              </w:rPr>
            </w:pPr>
            <w:r>
              <w:rPr>
                <w:lang w:val="en-GB" w:eastAsia="en-GB" w:bidi="en-GB"/>
              </w:rPr>
              <w:fldChar w:fldCharType="begin"/>
            </w:r>
            <w:r>
              <w:rPr>
                <w:lang w:val="en-GB" w:eastAsia="en-GB" w:bidi="en-GB"/>
              </w:rPr>
              <w:instrText xml:space="preserve"> MERGEFIELD OrderQty </w:instrText>
            </w:r>
            <w:r>
              <w:rPr>
                <w:lang w:val="en-GB" w:eastAsia="en-GB" w:bidi="en-GB"/>
              </w:rPr>
              <w:fldChar w:fldCharType="separate"/>
            </w:r>
            <w:r>
              <w:rPr>
                <w:lang w:val="en-GB" w:eastAsia="en-GB" w:bidi="en-GB"/>
              </w:rPr>
              <w:t xml:space="preserve">«OrderQty»</w:t>
            </w:r>
            <w:r>
              <w:rPr>
                <w:lang w:val="en-GB" w:eastAsia="en-GB" w:bidi="en-GB"/>
              </w:rPr>
              <w:fldChar w:fldCharType="end"/>
            </w:r>
          </w:p>
        </w:tc>
        <w:tc>
          <w:tcPr>
            <w:tcW w:w="234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lang w:val="en-GB" w:eastAsia="en-GB" w:bidi="en-GB"/>
              </w:rPr>
            </w:pPr>
            <w:r>
              <w:rPr>
                <w:lang w:val="en-GB" w:eastAsia="en-GB" w:bidi="en-GB"/>
              </w:rPr>
              <w:fldChar w:fldCharType="begin"/>
            </w:r>
            <w:r>
              <w:rPr>
                <w:lang w:val="en-GB" w:eastAsia="en-GB" w:bidi="en-GB"/>
              </w:rPr>
              <w:instrText xml:space="preserve"> MERGEFIELD UnitPrice \# "$#,###.00" </w:instrText>
            </w:r>
            <w:r>
              <w:rPr>
                <w:lang w:val="en-GB" w:eastAsia="en-GB" w:bidi="en-GB"/>
              </w:rPr>
              <w:fldChar w:fldCharType="separate"/>
            </w:r>
            <w:r>
              <w:rPr>
                <w:lang w:val="en-GB" w:eastAsia="en-GB" w:bidi="en-GB"/>
              </w:rPr>
              <w:t xml:space="preserve">«UnitPrice»</w:t>
            </w:r>
            <w:r>
              <w:rPr>
                <w:lang w:val="en-GB" w:eastAsia="en-GB" w:bidi="en-GB"/>
              </w:rPr>
              <w:fldChar w:fldCharType="end"/>
            </w:r>
          </w:p>
        </w:tc>
        <w:tc>
          <w:tcPr>
            <w:tcW w:w="234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lang w:val="en-GB" w:eastAsia="en-GB" w:bidi="en-GB"/>
              </w:rPr>
            </w:pPr>
            <w:r>
              <w:rPr>
                <w:lang w:val="en-GB" w:eastAsia="en-GB" w:bidi="en-GB"/>
              </w:rPr>
              <w:fldChar w:fldCharType="begin"/>
            </w:r>
            <w:r>
              <w:rPr>
                <w:lang w:val="en-GB" w:eastAsia="en-GB" w:bidi="en-GB"/>
              </w:rPr>
              <w:instrText xml:space="preserve"> MERGEFIELD LineTotal \# "$#,###.00" </w:instrText>
            </w:r>
            <w:r>
              <w:rPr>
                <w:lang w:val="en-GB" w:eastAsia="en-GB" w:bidi="en-GB"/>
              </w:rPr>
              <w:fldChar w:fldCharType="separate"/>
            </w:r>
            <w:r>
              <w:rPr>
                <w:lang w:val="en-GB" w:eastAsia="en-GB" w:bidi="en-GB"/>
              </w:rPr>
              <w:t xml:space="preserve">«LineTotal»</w:t>
            </w:r>
            <w:r>
              <w:rPr>
                <w:lang w:val="en-GB" w:eastAsia="en-GB" w:bidi="en-GB"/>
              </w:rPr>
              <w:fldChar w:fldCharType="end"/>
            </w:r>
          </w:p>
        </w:tc>
      </w:tr>
      <w:tr>
        <w:tc>
          <w:tcPr>
            <w:tcW w:w="2340" w:type="dxa"/>
            <w:shd w:val="clear" w:fill="808080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color w:val="FFFFFF"/>
                <w:lang w:val="en-GB" w:eastAsia="en-GB" w:bidi="en-GB"/>
              </w:rPr>
            </w:pPr>
            <w:bookmarkStart w:id="1" w:name="BlockEnd_Sales_SalesOrderDetail"/>
            <w:bookmarkEnd w:id="1"/>
          </w:p>
        </w:tc>
        <w:tc>
          <w:tcPr>
            <w:tcW w:w="2340" w:type="dxa"/>
            <w:shd w:val="clear" w:fill="808080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color w:val="FFFFFF"/>
                <w:lang w:val="en-GB" w:eastAsia="en-GB" w:bidi="en-GB"/>
              </w:rPr>
            </w:pPr>
          </w:p>
        </w:tc>
        <w:tc>
          <w:tcPr>
            <w:tcW w:w="2340" w:type="dxa"/>
            <w:shd w:val="clear" w:fill="808080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color w:val="FFFFFF"/>
                <w:lang w:val="en-GB" w:eastAsia="en-GB" w:bidi="en-GB"/>
              </w:rPr>
            </w:pPr>
          </w:p>
        </w:tc>
        <w:tc>
          <w:tcPr>
            <w:tcW w:w="2340" w:type="dxa"/>
            <w:shd w:val="clear" w:fill="808080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color w:val="FFFFFF"/>
                <w:lang w:val="en-GB" w:eastAsia="en-GB" w:bidi="en-GB"/>
              </w:rPr>
            </w:pPr>
            <w:r>
              <w:rPr>
                <w:color w:val="FFFFFF"/>
                <w:lang w:val="en-GB" w:eastAsia="en-GB" w:bidi="en-GB"/>
              </w:rPr>
              <w:fldChar w:fldCharType="begin"/>
            </w:r>
            <w:r>
              <w:rPr>
                <w:color w:val="FFFFFF"/>
                <w:lang w:val="en-GB" w:eastAsia="en-GB" w:bidi="en-GB"/>
              </w:rPr>
              <w:instrText xml:space="preserve"> MERGEFIELD SUM:LineTotal \# "$#,###.00" </w:instrText>
            </w:r>
            <w:r>
              <w:rPr>
                <w:color w:val="FFFFFF"/>
                <w:lang w:val="en-GB" w:eastAsia="en-GB" w:bidi="en-GB"/>
              </w:rPr>
              <w:fldChar w:fldCharType="separate"/>
            </w:r>
            <w:r>
              <w:rPr>
                <w:color w:val="FFFFFF"/>
                <w:lang w:val="en-GB" w:eastAsia="en-GB" w:bidi="en-GB"/>
              </w:rPr>
              <w:t xml:space="preserve">«SUM:LineTotal»</w:t>
            </w:r>
            <w:r>
              <w:rPr>
                <w:color w:val="FFFFFF"/>
                <w:lang w:val="en-GB" w:eastAsia="en-GB" w:bidi="en-GB"/>
              </w:rPr>
              <w:fldChar w:fldCharType="end"/>
            </w:r>
          </w:p>
        </w:tc>
      </w:tr>
    </w:tbl>
    <w:p>
      <w:pPr>
        <w:pStyle w:val="Normal"/>
        <w:rPr>
          <w:color w:val="FFFFFF"/>
          <w:lang w:val="en-GB" w:eastAsia="en-GB" w:bidi="en-GB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20.0.150.501</Application>
  <HyperlinkBase>C:\Users\bjoer_000\Documents\Visual Studio 2012\Projects\tx_custom_fields_SUM\tx_custom_fields_SUM\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