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Segoe UI" w:cs="Segoe UI" w:eastAsia="Segoe UI" w:hAnsi="Segoe UI"/>
          <w:b/>
          <w:bCs/>
          <w:color w:val="CC4444"/>
          <w:sz w:val="18"/>
          <w:szCs w:val="18"/>
        </w:rPr>
        <w:t xml:space="preserve">CONFIDENTIAL</w:t>
      </w:r>
      <w:r>
        <w:rPr>
          <w:rFonts w:ascii="Segoe UI" w:cs="Segoe UI" w:eastAsia="Segoe UI" w:hAnsi="Segoe UI"/>
          <w:color w:val="999999"/>
          <w:sz w:val="18"/>
          <w:szCs w:val="18"/>
        </w:rPr>
        <w:t xml:space="preserve">  —  Strategy Memo</w:t>
      </w:r>
    </w:p>
    <w:p>
      <w:pPr>
        <w:spacing w:after="60"/>
      </w:pPr>
      <w:r>
        <w:rPr>
          <w:rFonts w:ascii="Georgia" w:cs="Georgia" w:eastAsia="Georgia" w:hAnsi="Georgia"/>
          <w:b/>
          <w:bCs/>
          <w:color w:val="2C2C2C"/>
          <w:sz w:val="36"/>
          <w:szCs w:val="36"/>
        </w:rPr>
        <w:t xml:space="preserve">Norfolk Southern Safety Data</w:t>
      </w:r>
    </w:p>
    <w:p>
      <w:pPr>
        <w:pBdr>
          <w:bottom w:val="single" w:color="C4622D" w:sz="4"/>
        </w:pBdr>
        <w:spacing w:after="40"/>
      </w:pPr>
      <w:r>
        <w:rPr>
          <w:rFonts w:ascii="Segoe UI" w:cs="Segoe UI" w:eastAsia="Segoe UI" w:hAnsi="Segoe UI"/>
          <w:color w:val="999999"/>
          <w:sz w:val="22"/>
          <w:szCs w:val="22"/>
        </w:rPr>
        <w:t xml:space="preserve">What We Can Say, What to Avoid, and Recommended Site Language</w:t>
      </w:r>
    </w:p>
    <w:p>
      <w:pPr>
        <w:spacing w:after="160"/>
      </w:pPr>
      <w:r>
        <w:rPr>
          <w:rFonts w:ascii="Segoe UI" w:cs="Segoe UI" w:eastAsia="Segoe UI" w:hAnsi="Segoe UI"/>
          <w:i/>
          <w:iCs/>
          <w:color w:val="999999"/>
          <w:sz w:val="22"/>
          <w:szCs w:val="22"/>
        </w:rPr>
        <w:t xml:space="preserve">Prepared for Kyle Moyer / Pauline Lipkewich  —  March 17, 2026</w:t>
      </w:r>
    </w:p>
    <w:p>
      <w:pPr>
        <w:pStyle w:val="Heading1"/>
        <w:spacing w:after="120" w:before="400"/>
      </w:pPr>
      <w:r>
        <w:rPr>
          <w:rFonts w:ascii="Georgia" w:cs="Georgia" w:eastAsia="Georgia" w:hAnsi="Georgia"/>
          <w:b/>
          <w:bCs/>
          <w:color w:val="2C2C2C"/>
        </w:rPr>
        <w:t xml:space="preserve">The Situation</w:t>
      </w:r>
    </w:p>
    <w:p>
      <w:pPr>
        <w:spacing w:after="80"/>
      </w:pPr>
      <w:r>
        <w:rPr>
          <w:rFonts w:ascii="Segoe UI" w:cs="Segoe UI" w:eastAsia="Segoe UI" w:hAnsi="Segoe UI"/>
          <w:color w:val="666666"/>
          <w:sz w:val="22"/>
          <w:szCs w:val="22"/>
        </w:rPr>
        <w:t xml:space="preserve">Norfolk Southern has published two public safety reports (2024 Recap and 2025 Annual) that document dramatic safety improvements during the period KBL was engaged (Q2 2024 through Q4 2025). The data is compelling, publicly available, and directly aligned with the type of transformation The Rail Way delivers.</w:t>
      </w:r>
    </w:p>
    <w:p>
      <w:pPr>
        <w:spacing w:after="160"/>
      </w:pPr>
      <w:r>
        <w:rPr>
          <w:rFonts w:ascii="Segoe UI" w:cs="Segoe UI" w:eastAsia="Segoe UI" w:hAnsi="Segoe UI"/>
          <w:b/>
          <w:bCs/>
          <w:color w:val="666666"/>
          <w:sz w:val="22"/>
          <w:szCs w:val="22"/>
        </w:rPr>
        <w:t xml:space="preserve">The opportunity: use this data to substantiate The Rail Way’s credibility without over-claiming or triggering NS legal review.</w:t>
      </w:r>
    </w:p>
    <w:p>
      <w:pPr>
        <w:pStyle w:val="Heading1"/>
        <w:spacing w:after="120" w:before="400"/>
      </w:pPr>
      <w:r>
        <w:rPr>
          <w:rFonts w:ascii="Georgia" w:cs="Georgia" w:eastAsia="Georgia" w:hAnsi="Georgia"/>
          <w:b/>
          <w:bCs/>
          <w:color w:val="2C2C2C"/>
        </w:rPr>
        <w:t xml:space="preserve">The Data (All Public, All Sourced)</w:t>
      </w:r>
    </w:p>
    <w:p>
      <w:pPr>
        <w:pStyle w:val="Heading2"/>
        <w:spacing w:after="120" w:before="220"/>
      </w:pPr>
      <w:r>
        <w:rPr>
          <w:rFonts w:ascii="Georgia" w:cs="Georgia" w:eastAsia="Georgia" w:hAnsi="Georgia"/>
          <w:b/>
          <w:bCs/>
          <w:color w:val="2C2C2C"/>
        </w:rPr>
        <w:t xml:space="preserve">2024 End of Year Safety Report</w:t>
      </w:r>
    </w:p>
    <w:p>
      <w:pPr>
        <w:spacing w:after="100"/>
      </w:pPr>
      <w:r>
        <w:rPr>
          <w:rFonts w:ascii="Segoe UI" w:cs="Segoe UI" w:eastAsia="Segoe UI" w:hAnsi="Segoe UI"/>
          <w:color w:val="666666"/>
          <w:sz w:val="22"/>
          <w:szCs w:val="22"/>
        </w:rPr>
        <w:t xml:space="preserve">Source: norfolksouthern.com — “Committed to Safety Excellence: 2024 End of Year Report on Safety Accomplishments and Ongoing Initiatives”</w:t>
      </w:r>
    </w:p>
    <w:p>
      <w:pPr>
        <w:pStyle w:val="ListParagraph"/>
        <w:numPr>
          <w:ilvl w:val="0"/>
          <w:numId w:val="2"/>
        </w:numPr>
        <w:spacing w:after="50"/>
      </w:pPr>
      <w:r>
        <w:rPr>
          <w:rFonts w:ascii="Segoe UI" w:cs="Segoe UI" w:eastAsia="Segoe UI" w:hAnsi="Segoe UI"/>
          <w:color w:val="666666"/>
          <w:sz w:val="21"/>
          <w:szCs w:val="21"/>
        </w:rPr>
        <w:t xml:space="preserve">FRA Reportable Train Accident Rate: more than 25% reduction</w:t>
      </w:r>
    </w:p>
    <w:p>
      <w:pPr>
        <w:pStyle w:val="ListParagraph"/>
        <w:numPr>
          <w:ilvl w:val="0"/>
          <w:numId w:val="2"/>
        </w:numPr>
        <w:spacing w:after="50"/>
      </w:pPr>
      <w:r>
        <w:rPr>
          <w:rFonts w:ascii="Segoe UI" w:cs="Segoe UI" w:eastAsia="Segoe UI" w:hAnsi="Segoe UI"/>
          <w:color w:val="666666"/>
          <w:sz w:val="21"/>
          <w:szCs w:val="21"/>
        </w:rPr>
        <w:t xml:space="preserve">FRA Reportable Mainline Train Accident Rate: more than 40% reduction</w:t>
      </w:r>
    </w:p>
    <w:p>
      <w:pPr>
        <w:pStyle w:val="ListParagraph"/>
        <w:numPr>
          <w:ilvl w:val="0"/>
          <w:numId w:val="2"/>
        </w:numPr>
        <w:spacing w:after="50"/>
      </w:pPr>
      <w:r>
        <w:rPr>
          <w:rFonts w:ascii="Segoe UI" w:cs="Segoe UI" w:eastAsia="Segoe UI" w:hAnsi="Segoe UI"/>
          <w:color w:val="666666"/>
          <w:sz w:val="21"/>
          <w:szCs w:val="21"/>
        </w:rPr>
        <w:t xml:space="preserve">Nearly 2,000 employees attended safety leadership development events</w:t>
      </w:r>
    </w:p>
    <w:p>
      <w:pPr>
        <w:pStyle w:val="ListParagraph"/>
        <w:numPr>
          <w:ilvl w:val="0"/>
          <w:numId w:val="2"/>
        </w:numPr>
        <w:spacing w:after="50"/>
      </w:pPr>
      <w:r>
        <w:rPr>
          <w:rFonts w:ascii="Segoe UI" w:cs="Segoe UI" w:eastAsia="Segoe UI" w:hAnsi="Segoe UI"/>
          <w:color w:val="666666"/>
          <w:sz w:val="21"/>
          <w:szCs w:val="21"/>
        </w:rPr>
        <w:t xml:space="preserve">Company-wide “Speak Up” culture implemented</w:t>
      </w:r>
    </w:p>
    <w:p>
      <w:pPr>
        <w:pStyle w:val="ListParagraph"/>
        <w:numPr>
          <w:ilvl w:val="0"/>
          <w:numId w:val="2"/>
        </w:numPr>
        <w:spacing w:after="50"/>
      </w:pPr>
      <w:r>
        <w:rPr>
          <w:rFonts w:ascii="Segoe UI" w:cs="Segoe UI" w:eastAsia="Segoe UI" w:hAnsi="Segoe UI"/>
          <w:color w:val="666666"/>
          <w:sz w:val="21"/>
          <w:szCs w:val="21"/>
        </w:rPr>
        <w:t xml:space="preserve">First Class I railroad to launch C3RS (Confidential Close Call Reporting System) pilot</w:t>
      </w:r>
    </w:p>
    <w:p>
      <w:pPr>
        <w:pStyle w:val="ListParagraph"/>
        <w:numPr>
          <w:ilvl w:val="0"/>
          <w:numId w:val="2"/>
        </w:numPr>
        <w:spacing w:after="50"/>
      </w:pPr>
      <w:r>
        <w:rPr>
          <w:rFonts w:ascii="Segoe UI" w:cs="Segoe UI" w:eastAsia="Segoe UI" w:hAnsi="Segoe UI"/>
          <w:color w:val="666666"/>
          <w:sz w:val="21"/>
          <w:szCs w:val="21"/>
        </w:rPr>
        <w:t xml:space="preserve">CEO Mark George quoted: “We prioritize a culture of safety where keeping our employees and partners safe is the lens through which we make every decision, and where our Speak Up culture keeps us accountable.”</w:t>
      </w:r>
    </w:p>
    <w:p>
      <w:pPr>
        <w:pStyle w:val="Heading2"/>
        <w:spacing w:after="120" w:before="220"/>
      </w:pPr>
      <w:r>
        <w:rPr>
          <w:rFonts w:ascii="Georgia" w:cs="Georgia" w:eastAsia="Georgia" w:hAnsi="Georgia"/>
          <w:b/>
          <w:bCs/>
          <w:color w:val="2C2C2C"/>
        </w:rPr>
        <w:t xml:space="preserve">2025 Safety Report</w:t>
      </w:r>
    </w:p>
    <w:p>
      <w:pPr>
        <w:spacing w:after="100"/>
      </w:pPr>
      <w:r>
        <w:rPr>
          <w:rFonts w:ascii="Segoe UI" w:cs="Segoe UI" w:eastAsia="Segoe UI" w:hAnsi="Segoe UI"/>
          <w:color w:val="666666"/>
          <w:sz w:val="22"/>
          <w:szCs w:val="22"/>
        </w:rPr>
        <w:t xml:space="preserve">Source: norfolksouthern.com — “Delivering a Safer &amp; More Resilient Railroad: 2025 Report on Safety Accomplishments and Ongoing Initiatives”</w:t>
      </w:r>
    </w:p>
    <w:p>
      <w:pPr>
        <w:pStyle w:val="ListParagraph"/>
        <w:numPr>
          <w:ilvl w:val="0"/>
          <w:numId w:val="2"/>
        </w:numPr>
        <w:spacing w:after="50"/>
      </w:pPr>
      <w:r>
        <w:rPr>
          <w:rFonts w:ascii="Segoe UI" w:cs="Segoe UI" w:eastAsia="Segoe UI" w:hAnsi="Segoe UI"/>
          <w:color w:val="666666"/>
          <w:sz w:val="21"/>
          <w:szCs w:val="21"/>
        </w:rPr>
        <w:t xml:space="preserve">FRA Reportable Train Accident Rate: 31% reduction vs 2024 — best in over a decade</w:t>
      </w:r>
    </w:p>
    <w:p>
      <w:pPr>
        <w:pStyle w:val="ListParagraph"/>
        <w:numPr>
          <w:ilvl w:val="0"/>
          <w:numId w:val="2"/>
        </w:numPr>
        <w:spacing w:after="50"/>
      </w:pPr>
      <w:r>
        <w:rPr>
          <w:rFonts w:ascii="Segoe UI" w:cs="Segoe UI" w:eastAsia="Segoe UI" w:hAnsi="Segoe UI"/>
          <w:color w:val="666666"/>
          <w:sz w:val="21"/>
          <w:szCs w:val="21"/>
        </w:rPr>
        <w:t xml:space="preserve">FRA Reportable Injury Rate: 15% reduction vs 2024</w:t>
      </w:r>
    </w:p>
    <w:p>
      <w:pPr>
        <w:pStyle w:val="ListParagraph"/>
        <w:numPr>
          <w:ilvl w:val="0"/>
          <w:numId w:val="2"/>
        </w:numPr>
        <w:spacing w:after="50"/>
      </w:pPr>
      <w:r>
        <w:rPr>
          <w:rFonts w:ascii="Segoe UI" w:cs="Segoe UI" w:eastAsia="Segoe UI" w:hAnsi="Segoe UI"/>
          <w:color w:val="666666"/>
          <w:sz w:val="21"/>
          <w:szCs w:val="21"/>
        </w:rPr>
        <w:t xml:space="preserve">1 million man-hours injury free</w:t>
      </w:r>
    </w:p>
    <w:p>
      <w:pPr>
        <w:pStyle w:val="ListParagraph"/>
        <w:numPr>
          <w:ilvl w:val="0"/>
          <w:numId w:val="2"/>
        </w:numPr>
        <w:spacing w:after="50"/>
      </w:pPr>
      <w:r>
        <w:rPr>
          <w:rFonts w:ascii="Segoe UI" w:cs="Segoe UI" w:eastAsia="Segoe UI" w:hAnsi="Segoe UI"/>
          <w:color w:val="666666"/>
          <w:sz w:val="21"/>
          <w:szCs w:val="21"/>
        </w:rPr>
        <w:t xml:space="preserve">100% of operations leaders completed safety leadership training (Safety Camps)</w:t>
      </w:r>
    </w:p>
    <w:p>
      <w:pPr>
        <w:pStyle w:val="ListParagraph"/>
        <w:numPr>
          <w:ilvl w:val="0"/>
          <w:numId w:val="2"/>
        </w:numPr>
        <w:spacing w:after="50"/>
      </w:pPr>
      <w:r>
        <w:rPr>
          <w:rFonts w:ascii="Segoe UI" w:cs="Segoe UI" w:eastAsia="Segoe UI" w:hAnsi="Segoe UI"/>
          <w:color w:val="666666"/>
          <w:sz w:val="21"/>
          <w:szCs w:val="21"/>
        </w:rPr>
        <w:t xml:space="preserve">2,300+ people participated in Safety Camps since 2024 launch</w:t>
      </w:r>
    </w:p>
    <w:p>
      <w:pPr>
        <w:pStyle w:val="ListParagraph"/>
        <w:numPr>
          <w:ilvl w:val="0"/>
          <w:numId w:val="2"/>
        </w:numPr>
        <w:spacing w:after="50"/>
      </w:pPr>
      <w:r>
        <w:rPr>
          <w:rFonts w:ascii="Segoe UI" w:cs="Segoe UI" w:eastAsia="Segoe UI" w:hAnsi="Segoe UI"/>
          <w:color w:val="666666"/>
          <w:sz w:val="21"/>
          <w:szCs w:val="21"/>
        </w:rPr>
        <w:t xml:space="preserve">Speak Up Culture listed as one of four critical safety pillars</w:t>
      </w:r>
    </w:p>
    <w:p>
      <w:pPr>
        <w:pStyle w:val="ListParagraph"/>
        <w:numPr>
          <w:ilvl w:val="0"/>
          <w:numId w:val="2"/>
        </w:numPr>
        <w:spacing w:after="50"/>
      </w:pPr>
      <w:r>
        <w:rPr>
          <w:rFonts w:ascii="Segoe UI" w:cs="Segoe UI" w:eastAsia="Segoe UI" w:hAnsi="Segoe UI"/>
          <w:color w:val="666666"/>
          <w:sz w:val="21"/>
          <w:szCs w:val="21"/>
        </w:rPr>
        <w:t xml:space="preserve">Safety Walkabouts introduced — peer-to-peer engagement reinforcing Speak Up culture</w:t>
      </w:r>
    </w:p>
    <w:p>
      <w:pPr>
        <w:pStyle w:val="ListParagraph"/>
        <w:numPr>
          <w:ilvl w:val="0"/>
          <w:numId w:val="2"/>
        </w:numPr>
        <w:spacing w:after="50"/>
      </w:pPr>
      <w:r>
        <w:rPr>
          <w:rFonts w:ascii="Segoe UI" w:cs="Segoe UI" w:eastAsia="Segoe UI" w:hAnsi="Segoe UI"/>
          <w:color w:val="666666"/>
          <w:sz w:val="21"/>
          <w:szCs w:val="21"/>
        </w:rPr>
        <w:t xml:space="preserve">COO John Orr: “Norfolk Southern continues to strengthen a culture where every voice matters. Every employee is empowered to speak up about issues and share ideas.”</w:t>
      </w:r>
    </w:p>
    <w:p>
      <w:pPr>
        <w:pStyle w:val="ListParagraph"/>
        <w:numPr>
          <w:ilvl w:val="0"/>
          <w:numId w:val="2"/>
        </w:numPr>
        <w:spacing w:after="50"/>
      </w:pPr>
      <w:r>
        <w:rPr>
          <w:rFonts w:ascii="Segoe UI" w:cs="Segoe UI" w:eastAsia="Segoe UI" w:hAnsi="Segoe UI"/>
          <w:color w:val="666666"/>
          <w:sz w:val="21"/>
          <w:szCs w:val="21"/>
        </w:rPr>
        <w:t xml:space="preserve">CEO Mark George: “From the boardroom to the front line” — exact Rail Way language</w:t>
      </w:r>
    </w:p>
    <w:p>
      <w:pPr>
        <w:pStyle w:val="Heading2"/>
        <w:spacing w:after="120" w:before="220"/>
      </w:pPr>
      <w:r>
        <w:rPr>
          <w:rFonts w:ascii="Georgia" w:cs="Georgia" w:eastAsia="Georgia" w:hAnsi="Georgia"/>
          <w:b/>
          <w:bCs/>
          <w:color w:val="2C2C2C"/>
        </w:rPr>
        <w:t xml:space="preserve">KBL Engagement Timeline</w:t>
      </w:r>
    </w:p>
    <w:p>
      <w:pPr>
        <w:pStyle w:val="ListParagraph"/>
        <w:numPr>
          <w:ilvl w:val="0"/>
          <w:numId w:val="2"/>
        </w:numPr>
        <w:spacing w:after="50"/>
      </w:pPr>
      <w:r>
        <w:rPr>
          <w:rFonts w:ascii="Segoe UI" w:cs="Segoe UI" w:eastAsia="Segoe UI" w:hAnsi="Segoe UI"/>
          <w:color w:val="666666"/>
          <w:sz w:val="21"/>
          <w:szCs w:val="21"/>
        </w:rPr>
        <w:t xml:space="preserve">Q2 2024 – Q4 2025 (approximately 18 months)</w:t>
      </w:r>
    </w:p>
    <w:p>
      <w:pPr>
        <w:pStyle w:val="ListParagraph"/>
        <w:numPr>
          <w:ilvl w:val="0"/>
          <w:numId w:val="2"/>
        </w:numPr>
        <w:spacing w:after="50"/>
      </w:pPr>
      <w:r>
        <w:rPr>
          <w:rFonts w:ascii="Segoe UI" w:cs="Segoe UI" w:eastAsia="Segoe UI" w:hAnsi="Segoe UI"/>
          <w:color w:val="666666"/>
          <w:sz w:val="21"/>
          <w:szCs w:val="21"/>
        </w:rPr>
        <w:t xml:space="preserve">Focus: safety culture transformation, leadership development, Speak Up culture</w:t>
      </w:r>
    </w:p>
    <w:p>
      <w:pPr>
        <w:pStyle w:val="ListParagraph"/>
        <w:numPr>
          <w:ilvl w:val="0"/>
          <w:numId w:val="2"/>
        </w:numPr>
        <w:spacing w:after="50"/>
      </w:pPr>
      <w:r>
        <w:rPr>
          <w:rFonts w:ascii="Segoe UI" w:cs="Segoe UI" w:eastAsia="Segoe UI" w:hAnsi="Segoe UI"/>
          <w:color w:val="666666"/>
          <w:sz w:val="21"/>
          <w:szCs w:val="21"/>
        </w:rPr>
        <w:t xml:space="preserve">This timeline overlaps precisely with NS’s published improvement period</w:t>
      </w:r>
    </w:p>
    <w:p>
      <w:pPr>
        <w:pBdr>
          <w:bottom w:val="single" w:color="DDDDDD" w:sz="1"/>
        </w:pBdr>
        <w:spacing w:after="200" w:before="200"/>
      </w:pPr>
      <w:r>
        <w:rPr>
          <w:sz w:val="8"/>
          <w:szCs w:val="8"/>
        </w:rPr>
        <w:t xml:space="preserve"> </w:t>
      </w:r>
    </w:p>
    <w:p>
      <w:pPr>
        <w:pStyle w:val="Heading1"/>
        <w:spacing w:after="120" w:before="400"/>
      </w:pPr>
      <w:r>
        <w:rPr>
          <w:rFonts w:ascii="Georgia" w:cs="Georgia" w:eastAsia="Georgia" w:hAnsi="Georgia"/>
          <w:b/>
          <w:bCs/>
          <w:color w:val="2C2C2C"/>
        </w:rPr>
        <w:t xml:space="preserve">What We Can Safely Say</w:t>
      </w:r>
    </w:p>
    <w:p>
      <w:pPr>
        <w:spacing w:after="120"/>
      </w:pPr>
      <w:r>
        <w:rPr>
          <w:rFonts w:ascii="Segoe UI" w:cs="Segoe UI" w:eastAsia="Segoe UI" w:hAnsi="Segoe UI"/>
          <w:color w:val="666666"/>
          <w:sz w:val="22"/>
          <w:szCs w:val="22"/>
        </w:rPr>
        <w:t xml:space="preserve">The principle: cite public data, note our engagement timeline, and let the reader connect the dots. Never claim “we achieved” or “our work produced” — frame it as “during our engagement, the following public results were reported.”</w:t>
      </w:r>
    </w:p>
    <w:p>
      <w:pPr>
        <w:pStyle w:val="Heading3"/>
        <w:spacing w:after="120" w:before="220"/>
      </w:pPr>
      <w:r>
        <w:rPr>
          <w:rFonts w:ascii="Georgia" w:cs="Georgia" w:eastAsia="Georgia" w:hAnsi="Georgia"/>
          <w:b/>
          <w:bCs/>
          <w:color w:val="2C2C2C"/>
        </w:rPr>
        <w:t xml:space="preserve">Pattern 1: Third-Party Attribution</w:t>
      </w:r>
    </w:p>
    <w:p>
      <w:pPr>
        <w:spacing w:after="100"/>
      </w:pPr>
      <w:r>
        <w:rPr>
          <w:rFonts w:ascii="Segoe UI" w:cs="Segoe UI" w:eastAsia="Segoe UI" w:hAnsi="Segoe UI"/>
          <w:color w:val="666666"/>
          <w:sz w:val="22"/>
          <w:szCs w:val="22"/>
        </w:rPr>
        <w:t xml:space="preserve">Reference the data as NS’s published results, note the engagement, don’t claim causation.</w:t>
      </w:r>
    </w:p>
    <w:p>
      <w:pPr>
        <w:spacing w:after="40" w:before="120"/>
      </w:pPr>
      <w:r>
        <w:rPr>
          <w:rFonts w:ascii="Segoe UI" w:cs="Segoe UI" w:eastAsia="Segoe UI" w:hAnsi="Segoe UI"/>
          <w:b/>
          <w:bCs/>
          <w:color w:val="2E7D32"/>
          <w:sz w:val="20"/>
          <w:szCs w:val="20"/>
        </w:rPr>
        <w:t xml:space="preserve">SAFE LANGUAGE:</w:t>
      </w:r>
    </w:p>
    <w:p>
      <w:pPr>
        <w:pBdr>
          <w:left w:val="single" w:color="2E7D32" w:sz="6" w:space="8"/>
        </w:pBdr>
        <w:shd w:fill="E8F5E9" w:val="clear"/>
        <w:spacing w:after="100"/>
      </w:pPr>
      <w:r>
        <w:rPr>
          <w:rFonts w:ascii="Georgia" w:cs="Georgia" w:eastAsia="Georgia" w:hAnsi="Georgia"/>
          <w:i/>
          <w:iCs/>
          <w:color w:val="2C2C2C"/>
          <w:sz w:val="21"/>
          <w:szCs w:val="21"/>
        </w:rPr>
        <w:t xml:space="preserve">We’re proud to have worked alongside Norfolk Southern during a period of significant safety culture transformation. NS’s publicly reported results during 2024–2025 include a 40% reduction in mainline accident rate and the implementation of a company-wide Speak Up culture.</w:t>
      </w:r>
    </w:p>
    <w:p>
      <w:pPr>
        <w:pStyle w:val="Heading3"/>
        <w:spacing w:after="120" w:before="220"/>
      </w:pPr>
      <w:r>
        <w:rPr>
          <w:rFonts w:ascii="Georgia" w:cs="Georgia" w:eastAsia="Georgia" w:hAnsi="Georgia"/>
          <w:b/>
          <w:bCs/>
          <w:color w:val="2C2C2C"/>
        </w:rPr>
        <w:t xml:space="preserve">Pattern 2: Timeline Juxtaposition</w:t>
      </w:r>
    </w:p>
    <w:p>
      <w:pPr>
        <w:spacing w:after="100"/>
      </w:pPr>
      <w:r>
        <w:rPr>
          <w:rFonts w:ascii="Segoe UI" w:cs="Segoe UI" w:eastAsia="Segoe UI" w:hAnsi="Segoe UI"/>
          <w:color w:val="666666"/>
          <w:sz w:val="22"/>
          <w:szCs w:val="22"/>
        </w:rPr>
        <w:t xml:space="preserve">State the engagement period and the results in adjacent sentences without connecting them causally.</w:t>
      </w:r>
    </w:p>
    <w:p>
      <w:pPr>
        <w:spacing w:after="40" w:before="120"/>
      </w:pPr>
      <w:r>
        <w:rPr>
          <w:rFonts w:ascii="Segoe UI" w:cs="Segoe UI" w:eastAsia="Segoe UI" w:hAnsi="Segoe UI"/>
          <w:b/>
          <w:bCs/>
          <w:color w:val="2E7D32"/>
          <w:sz w:val="20"/>
          <w:szCs w:val="20"/>
        </w:rPr>
        <w:t xml:space="preserve">SAFE LANGUAGE:</w:t>
      </w:r>
    </w:p>
    <w:p>
      <w:pPr>
        <w:pBdr>
          <w:left w:val="single" w:color="2E7D32" w:sz="6" w:space="8"/>
        </w:pBdr>
        <w:shd w:fill="E8F5E9" w:val="clear"/>
        <w:spacing w:after="100"/>
      </w:pPr>
      <w:r>
        <w:rPr>
          <w:rFonts w:ascii="Georgia" w:cs="Georgia" w:eastAsia="Georgia" w:hAnsi="Georgia"/>
          <w:i/>
          <w:iCs/>
          <w:color w:val="2C2C2C"/>
          <w:sz w:val="21"/>
          <w:szCs w:val="21"/>
        </w:rPr>
        <w:t xml:space="preserve">The Rail Way partnered with Norfolk Southern from 2024 to 2025 on safety culture and leadership development. During this same period, Norfolk Southern reported its best FRA accident rate in over a decade, a 15% reduction in injury rate, and one million man-hours injury free.</w:t>
      </w:r>
    </w:p>
    <w:p>
      <w:pPr>
        <w:pStyle w:val="Heading3"/>
        <w:spacing w:after="120" w:before="220"/>
      </w:pPr>
      <w:r>
        <w:rPr>
          <w:rFonts w:ascii="Georgia" w:cs="Georgia" w:eastAsia="Georgia" w:hAnsi="Georgia"/>
          <w:b/>
          <w:bCs/>
          <w:color w:val="2C2C2C"/>
        </w:rPr>
        <w:t xml:space="preserve">Pattern 3: Quoting NS’s Own Words</w:t>
      </w:r>
    </w:p>
    <w:p>
      <w:pPr>
        <w:spacing w:after="100"/>
      </w:pPr>
      <w:r>
        <w:rPr>
          <w:rFonts w:ascii="Segoe UI" w:cs="Segoe UI" w:eastAsia="Segoe UI" w:hAnsi="Segoe UI"/>
          <w:color w:val="666666"/>
          <w:sz w:val="22"/>
          <w:szCs w:val="22"/>
        </w:rPr>
        <w:t xml:space="preserve">Norfolk Southern’s CEO and COO use language that mirrors The Rail Way’s brand — “Speak Up culture,” “from the boardroom to the front line.” Quoting their public statements is safe.</w:t>
      </w:r>
    </w:p>
    <w:p>
      <w:pPr>
        <w:spacing w:after="40" w:before="120"/>
      </w:pPr>
      <w:r>
        <w:rPr>
          <w:rFonts w:ascii="Segoe UI" w:cs="Segoe UI" w:eastAsia="Segoe UI" w:hAnsi="Segoe UI"/>
          <w:b/>
          <w:bCs/>
          <w:color w:val="2E7D32"/>
          <w:sz w:val="20"/>
          <w:szCs w:val="20"/>
        </w:rPr>
        <w:t xml:space="preserve">SAFE LANGUAGE:</w:t>
      </w:r>
    </w:p>
    <w:p>
      <w:pPr>
        <w:pBdr>
          <w:left w:val="single" w:color="2E7D32" w:sz="6" w:space="8"/>
        </w:pBdr>
        <w:shd w:fill="E8F5E9" w:val="clear"/>
        <w:spacing w:after="100"/>
      </w:pPr>
      <w:r>
        <w:rPr>
          <w:rFonts w:ascii="Georgia" w:cs="Georgia" w:eastAsia="Georgia" w:hAnsi="Georgia"/>
          <w:i/>
          <w:iCs/>
          <w:color w:val="2C2C2C"/>
          <w:sz w:val="21"/>
          <w:szCs w:val="21"/>
        </w:rPr>
        <w:t xml:space="preserve">Norfolk Southern CEO Mark George: “We prioritize a culture of safety where our Speak Up culture keeps us accountable.” This is the kind of leadership language that drives real transformation.</w:t>
      </w:r>
    </w:p>
    <w:p>
      <w:pPr>
        <w:pStyle w:val="Heading3"/>
        <w:spacing w:after="120" w:before="220"/>
      </w:pPr>
      <w:r>
        <w:rPr>
          <w:rFonts w:ascii="Georgia" w:cs="Georgia" w:eastAsia="Georgia" w:hAnsi="Georgia"/>
          <w:b/>
          <w:bCs/>
          <w:color w:val="2C2C2C"/>
        </w:rPr>
        <w:t xml:space="preserve">Pattern 4: Industry Recognition Cards (Already on Site)</w:t>
      </w:r>
    </w:p>
    <w:p>
      <w:pPr>
        <w:spacing w:after="100"/>
      </w:pPr>
      <w:r>
        <w:rPr>
          <w:rFonts w:ascii="Segoe UI" w:cs="Segoe UI" w:eastAsia="Segoe UI" w:hAnsi="Segoe UI"/>
          <w:color w:val="666666"/>
          <w:sz w:val="22"/>
          <w:szCs w:val="22"/>
        </w:rPr>
        <w:t xml:space="preserve">The home page already names NS through John Orr and Diane Barnett’s industry awards. This precedent is established and has not generated pushback.</w:t>
      </w:r>
    </w:p>
    <w:p>
      <w:pPr>
        <w:spacing w:after="40" w:before="120"/>
      </w:pPr>
      <w:r>
        <w:rPr>
          <w:rFonts w:ascii="Segoe UI" w:cs="Segoe UI" w:eastAsia="Segoe UI" w:hAnsi="Segoe UI"/>
          <w:b/>
          <w:bCs/>
          <w:color w:val="2E7D32"/>
          <w:sz w:val="20"/>
          <w:szCs w:val="20"/>
        </w:rPr>
        <w:t xml:space="preserve">ALREADY LIVE:</w:t>
      </w:r>
    </w:p>
    <w:p>
      <w:pPr>
        <w:pBdr>
          <w:left w:val="single" w:color="2E7D32" w:sz="6" w:space="8"/>
        </w:pBdr>
        <w:shd w:fill="E8F5E9" w:val="clear"/>
        <w:spacing w:after="100"/>
      </w:pPr>
      <w:r>
        <w:rPr>
          <w:rFonts w:ascii="Georgia" w:cs="Georgia" w:eastAsia="Georgia" w:hAnsi="Georgia"/>
          <w:i/>
          <w:iCs/>
          <w:color w:val="2C2C2C"/>
          <w:sz w:val="21"/>
          <w:szCs w:val="21"/>
        </w:rPr>
        <w:t xml:space="preserve">We’re proud of the work we’ve done with Norfolk Southern, helping elevate leadership capabilities and enhance safety performance. Two industry award winners. One client. Generational railroaders.</w:t>
      </w:r>
    </w:p>
    <w:p>
      <w:pPr>
        <w:pBdr>
          <w:bottom w:val="single" w:color="DDDDDD" w:sz="1"/>
        </w:pBdr>
        <w:spacing w:after="200" w:before="200"/>
      </w:pPr>
      <w:r>
        <w:rPr>
          <w:sz w:val="8"/>
          <w:szCs w:val="8"/>
        </w:rPr>
        <w:t xml:space="preserve"> </w:t>
      </w:r>
    </w:p>
    <w:p>
      <w:pPr>
        <w:pStyle w:val="Heading1"/>
        <w:spacing w:after="120" w:before="400"/>
      </w:pPr>
      <w:r>
        <w:rPr>
          <w:rFonts w:ascii="Georgia" w:cs="Georgia" w:eastAsia="Georgia" w:hAnsi="Georgia"/>
          <w:b/>
          <w:bCs/>
          <w:color w:val="2C2C2C"/>
        </w:rPr>
        <w:t xml:space="preserve">What to Avoid</w:t>
      </w:r>
    </w:p>
    <w:p>
      <w:pPr>
        <w:spacing w:after="40" w:before="120"/>
      </w:pPr>
      <w:r>
        <w:rPr>
          <w:rFonts w:ascii="Segoe UI" w:cs="Segoe UI" w:eastAsia="Segoe UI" w:hAnsi="Segoe UI"/>
          <w:b/>
          <w:bCs/>
          <w:color w:val="CC4444"/>
          <w:sz w:val="20"/>
          <w:szCs w:val="20"/>
        </w:rPr>
        <w:t xml:space="preserve">NEVER SAY:</w:t>
      </w:r>
    </w:p>
    <w:p>
      <w:pPr>
        <w:pBdr>
          <w:left w:val="single" w:color="CC4444" w:sz="6" w:space="8"/>
        </w:pBdr>
        <w:shd w:fill="FFEBEE" w:val="clear"/>
        <w:spacing w:after="100"/>
      </w:pPr>
      <w:r>
        <w:rPr>
          <w:rFonts w:ascii="Georgia" w:cs="Georgia" w:eastAsia="Georgia" w:hAnsi="Georgia"/>
          <w:i/>
          <w:iCs/>
          <w:color w:val="2C2C2C"/>
          <w:sz w:val="21"/>
          <w:szCs w:val="21"/>
        </w:rPr>
        <w:t xml:space="preserve">Our work at Norfolk Southern produced a 40% reduction in accident rates.</w:t>
      </w:r>
    </w:p>
    <w:p>
      <w:pPr>
        <w:spacing w:after="100"/>
      </w:pPr>
      <w:r>
        <w:rPr>
          <w:rFonts w:ascii="Segoe UI" w:cs="Segoe UI" w:eastAsia="Segoe UI" w:hAnsi="Segoe UI"/>
          <w:color w:val="666666"/>
          <w:sz w:val="22"/>
          <w:szCs w:val="22"/>
        </w:rPr>
        <w:t xml:space="preserve">This claims direct causation. NS had many initiatives running simultaneously (technology, union partnerships, FRA compliance). We cannot claim sole credit.</w:t>
      </w:r>
    </w:p>
    <w:p>
      <w:pPr>
        <w:spacing w:after="40" w:before="120"/>
      </w:pPr>
      <w:r>
        <w:rPr>
          <w:rFonts w:ascii="Segoe UI" w:cs="Segoe UI" w:eastAsia="Segoe UI" w:hAnsi="Segoe UI"/>
          <w:b/>
          <w:bCs/>
          <w:color w:val="CC4444"/>
          <w:sz w:val="20"/>
          <w:szCs w:val="20"/>
        </w:rPr>
        <w:t xml:space="preserve">NEVER SAY:</w:t>
      </w:r>
    </w:p>
    <w:p>
      <w:pPr>
        <w:pBdr>
          <w:left w:val="single" w:color="CC4444" w:sz="6" w:space="8"/>
        </w:pBdr>
        <w:shd w:fill="FFEBEE" w:val="clear"/>
        <w:spacing w:after="100"/>
      </w:pPr>
      <w:r>
        <w:rPr>
          <w:rFonts w:ascii="Georgia" w:cs="Georgia" w:eastAsia="Georgia" w:hAnsi="Georgia"/>
          <w:i/>
          <w:iCs/>
          <w:color w:val="2C2C2C"/>
          <w:sz w:val="21"/>
          <w:szCs w:val="21"/>
        </w:rPr>
        <w:t xml:space="preserve">KBL’s Speak Up Culture program is responsible for Norfolk Southern’s safety improvements.</w:t>
      </w:r>
    </w:p>
    <w:p>
      <w:pPr>
        <w:spacing w:after="100"/>
      </w:pPr>
      <w:r>
        <w:rPr>
          <w:rFonts w:ascii="Segoe UI" w:cs="Segoe UI" w:eastAsia="Segoe UI" w:hAnsi="Segoe UI"/>
          <w:color w:val="666666"/>
          <w:sz w:val="22"/>
          <w:szCs w:val="22"/>
        </w:rPr>
        <w:t xml:space="preserve">Same issue. We contributed to culture transformation; we didn’t single-handedly produce the metrics.</w:t>
      </w:r>
    </w:p>
    <w:p>
      <w:pPr>
        <w:spacing w:after="40" w:before="120"/>
      </w:pPr>
      <w:r>
        <w:rPr>
          <w:rFonts w:ascii="Segoe UI" w:cs="Segoe UI" w:eastAsia="Segoe UI" w:hAnsi="Segoe UI"/>
          <w:b/>
          <w:bCs/>
          <w:color w:val="CC4444"/>
          <w:sz w:val="20"/>
          <w:szCs w:val="20"/>
        </w:rPr>
        <w:t xml:space="preserve">NEVER SAY:</w:t>
      </w:r>
    </w:p>
    <w:p>
      <w:pPr>
        <w:pBdr>
          <w:left w:val="single" w:color="CC4444" w:sz="6" w:space="8"/>
        </w:pBdr>
        <w:shd w:fill="FFEBEE" w:val="clear"/>
        <w:spacing w:after="100"/>
      </w:pPr>
      <w:r>
        <w:rPr>
          <w:rFonts w:ascii="Georgia" w:cs="Georgia" w:eastAsia="Georgia" w:hAnsi="Georgia"/>
          <w:i/>
          <w:iCs/>
          <w:color w:val="2C2C2C"/>
          <w:sz w:val="21"/>
          <w:szCs w:val="21"/>
        </w:rPr>
        <w:t xml:space="preserve">Norfolk Southern hired us to fix their safety culture after East Palestine.</w:t>
      </w:r>
    </w:p>
    <w:p>
      <w:pPr>
        <w:spacing w:after="100"/>
      </w:pPr>
      <w:r>
        <w:rPr>
          <w:rFonts w:ascii="Segoe UI" w:cs="Segoe UI" w:eastAsia="Segoe UI" w:hAnsi="Segoe UI"/>
          <w:color w:val="666666"/>
          <w:sz w:val="22"/>
          <w:szCs w:val="22"/>
        </w:rPr>
        <w:t xml:space="preserve">This implies their culture was broken and we were brought in as remediation. Even if directionally true, this framing would antagonize NS legal immediately.</w:t>
      </w:r>
    </w:p>
    <w:p>
      <w:pPr>
        <w:spacing w:after="40" w:before="120"/>
      </w:pPr>
      <w:r>
        <w:rPr>
          <w:rFonts w:ascii="Segoe UI" w:cs="Segoe UI" w:eastAsia="Segoe UI" w:hAnsi="Segoe UI"/>
          <w:b/>
          <w:bCs/>
          <w:color w:val="CC4444"/>
          <w:sz w:val="20"/>
          <w:szCs w:val="20"/>
        </w:rPr>
        <w:t xml:space="preserve">AVOID:</w:t>
      </w:r>
    </w:p>
    <w:p>
      <w:pPr>
        <w:pBdr>
          <w:left w:val="single" w:color="CC4444" w:sz="6" w:space="8"/>
        </w:pBdr>
        <w:shd w:fill="FFEBEE" w:val="clear"/>
        <w:spacing w:after="100"/>
      </w:pPr>
      <w:r>
        <w:rPr>
          <w:rFonts w:ascii="Georgia" w:cs="Georgia" w:eastAsia="Georgia" w:hAnsi="Georgia"/>
          <w:i/>
          <w:iCs/>
          <w:color w:val="2C2C2C"/>
          <w:sz w:val="21"/>
          <w:szCs w:val="21"/>
        </w:rPr>
        <w:t xml:space="preserve">Specific internal program names, proprietary methodologies, or details about what we delivered that aren’t in the public reports.</w:t>
      </w:r>
    </w:p>
    <w:p>
      <w:pPr>
        <w:spacing w:after="100"/>
      </w:pPr>
      <w:r>
        <w:rPr>
          <w:rFonts w:ascii="Segoe UI" w:cs="Segoe UI" w:eastAsia="Segoe UI" w:hAnsi="Segoe UI"/>
          <w:color w:val="666666"/>
          <w:sz w:val="22"/>
          <w:szCs w:val="22"/>
        </w:rPr>
        <w:t xml:space="preserve">Stick to what NS has published. If it’s not in their public reports, don’t reference it.</w:t>
      </w:r>
    </w:p>
    <w:p>
      <w:pPr>
        <w:spacing w:after="40" w:before="120"/>
      </w:pPr>
      <w:r>
        <w:rPr>
          <w:rFonts w:ascii="Segoe UI" w:cs="Segoe UI" w:eastAsia="Segoe UI" w:hAnsi="Segoe UI"/>
          <w:b/>
          <w:bCs/>
          <w:color w:val="CC4444"/>
          <w:sz w:val="20"/>
          <w:szCs w:val="20"/>
        </w:rPr>
        <w:t xml:space="preserve">AVOID:</w:t>
      </w:r>
    </w:p>
    <w:p>
      <w:pPr>
        <w:pBdr>
          <w:left w:val="single" w:color="CC4444" w:sz="6" w:space="8"/>
        </w:pBdr>
        <w:shd w:fill="FFEBEE" w:val="clear"/>
        <w:spacing w:after="100"/>
      </w:pPr>
      <w:r>
        <w:rPr>
          <w:rFonts w:ascii="Georgia" w:cs="Georgia" w:eastAsia="Georgia" w:hAnsi="Georgia"/>
          <w:i/>
          <w:iCs/>
          <w:color w:val="2C2C2C"/>
          <w:sz w:val="21"/>
          <w:szCs w:val="21"/>
        </w:rPr>
        <w:t xml:space="preserve">Implying NS endorses The Rail Way or recommends our services.</w:t>
      </w:r>
    </w:p>
    <w:p>
      <w:pPr>
        <w:spacing w:after="100"/>
      </w:pPr>
      <w:r>
        <w:rPr>
          <w:rFonts w:ascii="Segoe UI" w:cs="Segoe UI" w:eastAsia="Segoe UI" w:hAnsi="Segoe UI"/>
          <w:color w:val="666666"/>
          <w:sz w:val="22"/>
          <w:szCs w:val="22"/>
        </w:rPr>
        <w:t xml:space="preserve">The relationship is real, but unless NS provides a testimonial quote, we can’t imply endorsement.</w:t>
      </w:r>
    </w:p>
    <w:p>
      <w:pPr>
        <w:pBdr>
          <w:bottom w:val="single" w:color="DDDDDD" w:sz="1"/>
        </w:pBdr>
        <w:spacing w:after="200" w:before="200"/>
      </w:pPr>
      <w:r>
        <w:rPr>
          <w:sz w:val="8"/>
          <w:szCs w:val="8"/>
        </w:rPr>
        <w:t xml:space="preserve"> </w:t>
      </w:r>
    </w:p>
    <w:p>
      <w:pPr>
        <w:pStyle w:val="Heading1"/>
        <w:spacing w:after="120" w:before="400"/>
      </w:pPr>
      <w:r>
        <w:rPr>
          <w:rFonts w:ascii="Georgia" w:cs="Georgia" w:eastAsia="Georgia" w:hAnsi="Georgia"/>
          <w:b/>
          <w:bCs/>
          <w:color w:val="2C2C2C"/>
        </w:rPr>
        <w:t xml:space="preserve">Recommended Site Language</w:t>
      </w:r>
    </w:p>
    <w:p>
      <w:pPr>
        <w:spacing w:after="120"/>
      </w:pPr>
      <w:r>
        <w:rPr>
          <w:rFonts w:ascii="Segoe UI" w:cs="Segoe UI" w:eastAsia="Segoe UI" w:hAnsi="Segoe UI"/>
          <w:color w:val="666666"/>
          <w:sz w:val="22"/>
          <w:szCs w:val="22"/>
        </w:rPr>
        <w:t xml:space="preserve">Here are draft copy blocks for different locations on the site. All use the safe patterns above.</w:t>
      </w:r>
    </w:p>
    <w:p>
      <w:pPr>
        <w:pStyle w:val="Heading2"/>
        <w:spacing w:after="120" w:before="220"/>
      </w:pPr>
      <w:r>
        <w:rPr>
          <w:rFonts w:ascii="Georgia" w:cs="Georgia" w:eastAsia="Georgia" w:hAnsi="Georgia"/>
          <w:b/>
          <w:bCs/>
          <w:color w:val="2C2C2C"/>
        </w:rPr>
        <w:t xml:space="preserve">Home Page — Stats Bar (Updated)</w:t>
      </w:r>
    </w:p>
    <w:p>
      <w:pPr>
        <w:spacing w:after="100"/>
      </w:pPr>
      <w:r>
        <w:rPr>
          <w:rFonts w:ascii="Segoe UI" w:cs="Segoe UI" w:eastAsia="Segoe UI" w:hAnsi="Segoe UI"/>
          <w:color w:val="666666"/>
          <w:sz w:val="22"/>
          <w:szCs w:val="22"/>
        </w:rPr>
        <w:t xml:space="preserve">Replace the current stats with data that includes NS results alongside existing BCG data:</w:t>
      </w:r>
    </w:p>
    <w:p>
      <w:pPr>
        <w:spacing w:after="40" w:before="120"/>
      </w:pPr>
      <w:r>
        <w:rPr>
          <w:rFonts w:ascii="Segoe UI" w:cs="Segoe UI" w:eastAsia="Segoe UI" w:hAnsi="Segoe UI"/>
          <w:b/>
          <w:bCs/>
          <w:color w:val="2E7D32"/>
          <w:sz w:val="20"/>
          <w:szCs w:val="20"/>
        </w:rPr>
        <w:t xml:space="preserve">STAT 1:</w:t>
      </w:r>
    </w:p>
    <w:p>
      <w:pPr>
        <w:pBdr>
          <w:left w:val="single" w:color="2E7D32" w:sz="6" w:space="8"/>
        </w:pBdr>
        <w:shd w:fill="E8F5E9" w:val="clear"/>
        <w:spacing w:after="100"/>
      </w:pPr>
      <w:r>
        <w:rPr>
          <w:rFonts w:ascii="Georgia" w:cs="Georgia" w:eastAsia="Georgia" w:hAnsi="Georgia"/>
          <w:i/>
          <w:iCs/>
          <w:color w:val="2C2C2C"/>
          <w:sz w:val="21"/>
          <w:szCs w:val="21"/>
        </w:rPr>
        <w:t xml:space="preserve">40% — Reduction in mainline accident rate at a Class I partner during our engagement — Source: Norfolk Southern 2024 Safety Report</w:t>
      </w:r>
    </w:p>
    <w:p>
      <w:pPr>
        <w:spacing w:after="40" w:before="120"/>
      </w:pPr>
      <w:r>
        <w:rPr>
          <w:rFonts w:ascii="Segoe UI" w:cs="Segoe UI" w:eastAsia="Segoe UI" w:hAnsi="Segoe UI"/>
          <w:b/>
          <w:bCs/>
          <w:color w:val="2E7D32"/>
          <w:sz w:val="20"/>
          <w:szCs w:val="20"/>
        </w:rPr>
        <w:t xml:space="preserve">STAT 2:</w:t>
      </w:r>
    </w:p>
    <w:p>
      <w:pPr>
        <w:pBdr>
          <w:left w:val="single" w:color="2E7D32" w:sz="6" w:space="8"/>
        </w:pBdr>
        <w:shd w:fill="E8F5E9" w:val="clear"/>
        <w:spacing w:after="100"/>
      </w:pPr>
      <w:r>
        <w:rPr>
          <w:rFonts w:ascii="Georgia" w:cs="Georgia" w:eastAsia="Georgia" w:hAnsi="Georgia"/>
          <w:i/>
          <w:iCs/>
          <w:color w:val="2C2C2C"/>
          <w:sz w:val="21"/>
          <w:szCs w:val="21"/>
        </w:rPr>
        <w:t xml:space="preserve">31% — Further accident rate reduction the following year — best in a decade — Source: Norfolk Southern 2025 Safety Report</w:t>
      </w:r>
    </w:p>
    <w:p>
      <w:pPr>
        <w:spacing w:after="40" w:before="120"/>
      </w:pPr>
      <w:r>
        <w:rPr>
          <w:rFonts w:ascii="Segoe UI" w:cs="Segoe UI" w:eastAsia="Segoe UI" w:hAnsi="Segoe UI"/>
          <w:b/>
          <w:bCs/>
          <w:color w:val="2E7D32"/>
          <w:sz w:val="20"/>
          <w:szCs w:val="20"/>
        </w:rPr>
        <w:t xml:space="preserve">STAT 3:</w:t>
      </w:r>
    </w:p>
    <w:p>
      <w:pPr>
        <w:pBdr>
          <w:left w:val="single" w:color="2E7D32" w:sz="6" w:space="8"/>
        </w:pBdr>
        <w:shd w:fill="E8F5E9" w:val="clear"/>
        <w:spacing w:after="100"/>
      </w:pPr>
      <w:r>
        <w:rPr>
          <w:rFonts w:ascii="Georgia" w:cs="Georgia" w:eastAsia="Georgia" w:hAnsi="Georgia"/>
          <w:i/>
          <w:iCs/>
          <w:color w:val="2C2C2C"/>
          <w:sz w:val="21"/>
          <w:szCs w:val="21"/>
        </w:rPr>
        <w:t xml:space="preserve">1M — Man-hours injury free achieved during safety culture transformation — Source: Norfolk Southern 2025 Safety Report</w:t>
      </w:r>
    </w:p>
    <w:p>
      <w:pPr>
        <w:spacing w:after="100"/>
      </w:pPr>
      <w:r>
        <w:rPr>
          <w:rFonts w:ascii="Segoe UI" w:cs="Segoe UI" w:eastAsia="Segoe UI" w:hAnsi="Segoe UI"/>
          <w:i/>
          <w:iCs/>
          <w:color w:val="666666"/>
          <w:sz w:val="22"/>
          <w:szCs w:val="22"/>
        </w:rPr>
        <w:t xml:space="preserve">Note: these are powerful because they’re specific, sourced to public reports, and don’t claim causation. “During our engagement” is the key phrase.</w:t>
      </w:r>
    </w:p>
    <w:p>
      <w:pPr>
        <w:pStyle w:val="Heading2"/>
        <w:spacing w:after="120" w:before="220"/>
      </w:pPr>
      <w:r>
        <w:rPr>
          <w:rFonts w:ascii="Georgia" w:cs="Georgia" w:eastAsia="Georgia" w:hAnsi="Georgia"/>
          <w:b/>
          <w:bCs/>
          <w:color w:val="2C2C2C"/>
        </w:rPr>
        <w:t xml:space="preserve">Home Page — Recognition Section (Expanded)</w:t>
      </w:r>
    </w:p>
    <w:p>
      <w:pPr>
        <w:spacing w:after="100"/>
      </w:pPr>
      <w:r>
        <w:rPr>
          <w:rFonts w:ascii="Segoe UI" w:cs="Segoe UI" w:eastAsia="Segoe UI" w:hAnsi="Segoe UI"/>
          <w:color w:val="666666"/>
          <w:sz w:val="22"/>
          <w:szCs w:val="22"/>
        </w:rPr>
        <w:t xml:space="preserve">Add a new card alongside John Orr and Diane Barnett:</w:t>
      </w:r>
    </w:p>
    <w:p>
      <w:pPr>
        <w:spacing w:after="40" w:before="120"/>
      </w:pPr>
      <w:r>
        <w:rPr>
          <w:rFonts w:ascii="Segoe UI" w:cs="Segoe UI" w:eastAsia="Segoe UI" w:hAnsi="Segoe UI"/>
          <w:b/>
          <w:bCs/>
          <w:color w:val="2E7D32"/>
          <w:sz w:val="20"/>
          <w:szCs w:val="20"/>
        </w:rPr>
        <w:t xml:space="preserve">NEW CARD:</w:t>
      </w:r>
    </w:p>
    <w:p>
      <w:pPr>
        <w:pBdr>
          <w:left w:val="single" w:color="2E7D32" w:sz="6" w:space="8"/>
        </w:pBdr>
        <w:shd w:fill="E8F5E9" w:val="clear"/>
        <w:spacing w:after="100"/>
      </w:pPr>
      <w:r>
        <w:rPr>
          <w:rFonts w:ascii="Georgia" w:cs="Georgia" w:eastAsia="Georgia" w:hAnsi="Georgia"/>
          <w:i/>
          <w:iCs/>
          <w:color w:val="2C2C2C"/>
          <w:sz w:val="21"/>
          <w:szCs w:val="21"/>
        </w:rPr>
        <w:t xml:space="preserve">Norfolk Southern 2024–2025 — Safety Culture Transformation
During our 18-month engagement, Norfolk Southern implemented a company-wide Speak Up culture, trained 2,300+ leaders through Safety Camps, and reported a 31% reduction in FRA accident rate — their best in over a decade.
Source: Norfolk Southern Annual Safety Reports</w:t>
      </w:r>
    </w:p>
    <w:p>
      <w:pPr>
        <w:pStyle w:val="Heading2"/>
        <w:spacing w:after="120" w:before="220"/>
      </w:pPr>
      <w:r>
        <w:rPr>
          <w:rFonts w:ascii="Georgia" w:cs="Georgia" w:eastAsia="Georgia" w:hAnsi="Georgia"/>
          <w:b/>
          <w:bCs/>
          <w:color w:val="2C2C2C"/>
        </w:rPr>
        <w:t xml:space="preserve">About Page — Pauline’s Bio (Addition)</w:t>
      </w:r>
    </w:p>
    <w:p>
      <w:pPr>
        <w:spacing w:after="100"/>
      </w:pPr>
      <w:r>
        <w:rPr>
          <w:rFonts w:ascii="Segoe UI" w:cs="Segoe UI" w:eastAsia="Segoe UI" w:hAnsi="Segoe UI"/>
          <w:color w:val="666666"/>
          <w:sz w:val="22"/>
          <w:szCs w:val="22"/>
        </w:rPr>
        <w:t xml:space="preserve">Add after the existing “double and triple digit improvements” sentence:</w:t>
      </w:r>
    </w:p>
    <w:p>
      <w:pPr>
        <w:spacing w:after="40" w:before="120"/>
      </w:pPr>
      <w:r>
        <w:rPr>
          <w:rFonts w:ascii="Segoe UI" w:cs="Segoe UI" w:eastAsia="Segoe UI" w:hAnsi="Segoe UI"/>
          <w:b/>
          <w:bCs/>
          <w:color w:val="2E7D32"/>
          <w:sz w:val="20"/>
          <w:szCs w:val="20"/>
        </w:rPr>
        <w:t xml:space="preserve">ADD:</w:t>
      </w:r>
    </w:p>
    <w:p>
      <w:pPr>
        <w:pBdr>
          <w:left w:val="single" w:color="2E7D32" w:sz="6" w:space="8"/>
        </w:pBdr>
        <w:shd w:fill="E8F5E9" w:val="clear"/>
        <w:spacing w:after="100"/>
      </w:pPr>
      <w:r>
        <w:rPr>
          <w:rFonts w:ascii="Georgia" w:cs="Georgia" w:eastAsia="Georgia" w:hAnsi="Georgia"/>
          <w:i/>
          <w:iCs/>
          <w:color w:val="2C2C2C"/>
          <w:sz w:val="21"/>
          <w:szCs w:val="21"/>
        </w:rPr>
        <w:t xml:space="preserve">Most recently, she partnered with Norfolk Southern on an 18-month safety culture transformation that coincided with the railroad reporting its best FRA accident rate in over a decade and a 15% reduction in injury rate.</w:t>
      </w:r>
    </w:p>
    <w:p>
      <w:pPr>
        <w:pStyle w:val="Heading2"/>
        <w:spacing w:after="120" w:before="220"/>
      </w:pPr>
      <w:r>
        <w:rPr>
          <w:rFonts w:ascii="Georgia" w:cs="Georgia" w:eastAsia="Georgia" w:hAnsi="Georgia"/>
          <w:b/>
          <w:bCs/>
          <w:color w:val="2C2C2C"/>
        </w:rPr>
        <w:t xml:space="preserve">New Insight Article Opportunity</w:t>
      </w:r>
    </w:p>
    <w:p>
      <w:pPr>
        <w:spacing w:after="100"/>
      </w:pPr>
      <w:r>
        <w:rPr>
          <w:rFonts w:ascii="Segoe UI" w:cs="Segoe UI" w:eastAsia="Segoe UI" w:hAnsi="Segoe UI"/>
          <w:color w:val="666666"/>
          <w:sz w:val="22"/>
          <w:szCs w:val="22"/>
        </w:rPr>
        <w:t xml:space="preserve">The data supports a full pillar article: “What Happens When a Class I Railroad Commits to Speak Up Culture” — using only publicly available NS data to build the case. This would be a Charlie byline, data-driven piece that references the public reports without claiming KBL credit.</w:t>
      </w:r>
    </w:p>
    <w:p>
      <w:pPr>
        <w:pBdr>
          <w:bottom w:val="single" w:color="DDDDDD" w:sz="1"/>
        </w:pBdr>
        <w:spacing w:after="200" w:before="200"/>
      </w:pPr>
      <w:r>
        <w:rPr>
          <w:sz w:val="8"/>
          <w:szCs w:val="8"/>
        </w:rPr>
        <w:t xml:space="preserve"> </w:t>
      </w:r>
    </w:p>
    <w:p>
      <w:pPr>
        <w:pStyle w:val="Heading1"/>
        <w:spacing w:after="120" w:before="400"/>
      </w:pPr>
      <w:r>
        <w:rPr>
          <w:rFonts w:ascii="Georgia" w:cs="Georgia" w:eastAsia="Georgia" w:hAnsi="Georgia"/>
          <w:b/>
          <w:bCs/>
          <w:color w:val="2C2C2C"/>
        </w:rPr>
        <w:t xml:space="preserve">Specific Data Points Pauline Flagged</w:t>
      </w:r>
    </w:p>
    <w:p>
      <w:pPr>
        <w:pStyle w:val="Heading3"/>
        <w:spacing w:after="120" w:before="220"/>
      </w:pPr>
      <w:r>
        <w:rPr>
          <w:rFonts w:ascii="Georgia" w:cs="Georgia" w:eastAsia="Georgia" w:hAnsi="Georgia"/>
          <w:b/>
          <w:bCs/>
          <w:color w:val="2C2C2C"/>
        </w:rPr>
        <w:t xml:space="preserve">2024 Report, Page 3</w:t>
      </w:r>
    </w:p>
    <w:p>
      <w:pPr>
        <w:spacing w:after="100"/>
      </w:pPr>
      <w:r>
        <w:rPr>
          <w:rFonts w:ascii="Segoe UI" w:cs="Segoe UI" w:eastAsia="Segoe UI" w:hAnsi="Segoe UI"/>
          <w:color w:val="666666"/>
          <w:sz w:val="22"/>
          <w:szCs w:val="22"/>
        </w:rPr>
        <w:t xml:space="preserve">“In 2024, nearly 2,000 employees attended safety leadership development events, bringing leaders from across Norfolk Southern together to advance our safety culture.”</w:t>
      </w:r>
    </w:p>
    <w:p>
      <w:pPr>
        <w:spacing w:after="100"/>
      </w:pPr>
      <w:r>
        <w:rPr>
          <w:rFonts w:ascii="Segoe UI" w:cs="Segoe UI" w:eastAsia="Segoe UI" w:hAnsi="Segoe UI"/>
          <w:i/>
          <w:iCs/>
          <w:color w:val="666666"/>
          <w:sz w:val="22"/>
          <w:szCs w:val="22"/>
        </w:rPr>
        <w:t xml:space="preserve">Usage: safe to cite with source attribution. Shows investment in the type of work KBL does.</w:t>
      </w:r>
    </w:p>
    <w:p>
      <w:pPr>
        <w:pStyle w:val="Heading3"/>
        <w:spacing w:after="120" w:before="220"/>
      </w:pPr>
      <w:r>
        <w:rPr>
          <w:rFonts w:ascii="Georgia" w:cs="Georgia" w:eastAsia="Georgia" w:hAnsi="Georgia"/>
          <w:b/>
          <w:bCs/>
          <w:color w:val="2C2C2C"/>
        </w:rPr>
        <w:t xml:space="preserve">2024 Report, Page 4</w:t>
      </w:r>
    </w:p>
    <w:p>
      <w:pPr>
        <w:spacing w:after="100"/>
      </w:pPr>
      <w:r>
        <w:rPr>
          <w:rFonts w:ascii="Segoe UI" w:cs="Segoe UI" w:eastAsia="Segoe UI" w:hAnsi="Segoe UI"/>
          <w:color w:val="666666"/>
          <w:sz w:val="22"/>
          <w:szCs w:val="22"/>
        </w:rPr>
        <w:t xml:space="preserve">FRA Reportable Train Accident Rate: 25%+ reduction. FRA Mainline Accident Rate: 40%+ reduction.</w:t>
      </w:r>
    </w:p>
    <w:p>
      <w:pPr>
        <w:spacing w:after="100"/>
      </w:pPr>
      <w:r>
        <w:rPr>
          <w:rFonts w:ascii="Segoe UI" w:cs="Segoe UI" w:eastAsia="Segoe UI" w:hAnsi="Segoe UI"/>
          <w:i/>
          <w:iCs/>
          <w:color w:val="666666"/>
          <w:sz w:val="22"/>
          <w:szCs w:val="22"/>
        </w:rPr>
        <w:t xml:space="preserve">Usage: safe to cite with source. These are the headline numbers. Use “during our engagement period” framing.</w:t>
      </w:r>
    </w:p>
    <w:p>
      <w:pPr>
        <w:pStyle w:val="Heading3"/>
        <w:spacing w:after="120" w:before="220"/>
      </w:pPr>
      <w:r>
        <w:rPr>
          <w:rFonts w:ascii="Georgia" w:cs="Georgia" w:eastAsia="Georgia" w:hAnsi="Georgia"/>
          <w:b/>
          <w:bCs/>
          <w:color w:val="2C2C2C"/>
        </w:rPr>
        <w:t xml:space="preserve">2025 Report, Page 1</w:t>
      </w:r>
    </w:p>
    <w:p>
      <w:pPr>
        <w:spacing w:after="100"/>
      </w:pPr>
      <w:r>
        <w:rPr>
          <w:rFonts w:ascii="Segoe UI" w:cs="Segoe UI" w:eastAsia="Segoe UI" w:hAnsi="Segoe UI"/>
          <w:color w:val="666666"/>
          <w:sz w:val="22"/>
          <w:szCs w:val="22"/>
        </w:rPr>
        <w:t xml:space="preserve">31% reduction in FRA reportable Train Accident Rate (2025 vs 2024). 15% reduction in FRA reportable Injury Rate (2025 vs 2024).</w:t>
      </w:r>
    </w:p>
    <w:p>
      <w:pPr>
        <w:spacing w:after="100"/>
      </w:pPr>
      <w:r>
        <w:rPr>
          <w:rFonts w:ascii="Segoe UI" w:cs="Segoe UI" w:eastAsia="Segoe UI" w:hAnsi="Segoe UI"/>
          <w:i/>
          <w:iCs/>
          <w:color w:val="666666"/>
          <w:sz w:val="22"/>
          <w:szCs w:val="22"/>
        </w:rPr>
        <w:t xml:space="preserve">Usage: safe to cite. “Best in over a decade” is their language. The 31% number is powerful because it shows continued improvement in the second year of engagement.</w:t>
      </w:r>
    </w:p>
    <w:p>
      <w:pPr>
        <w:pStyle w:val="Heading3"/>
        <w:spacing w:after="120" w:before="220"/>
      </w:pPr>
      <w:r>
        <w:rPr>
          <w:rFonts w:ascii="Georgia" w:cs="Georgia" w:eastAsia="Georgia" w:hAnsi="Georgia"/>
          <w:b/>
          <w:bCs/>
          <w:color w:val="2C2C2C"/>
        </w:rPr>
        <w:t xml:space="preserve">2025 Report, Page 2</w:t>
      </w:r>
    </w:p>
    <w:p>
      <w:pPr>
        <w:spacing w:after="100"/>
      </w:pPr>
      <w:r>
        <w:rPr>
          <w:rFonts w:ascii="Segoe UI" w:cs="Segoe UI" w:eastAsia="Segoe UI" w:hAnsi="Segoe UI"/>
          <w:color w:val="666666"/>
          <w:sz w:val="22"/>
          <w:szCs w:val="22"/>
        </w:rPr>
        <w:t xml:space="preserve">Speak Up Culture listed as one of four critical safety pillars. FRA Accident Rate chart showing 5-year improvement from 4.50 to 2.19.</w:t>
      </w:r>
    </w:p>
    <w:p>
      <w:pPr>
        <w:spacing w:after="100"/>
      </w:pPr>
      <w:r>
        <w:rPr>
          <w:rFonts w:ascii="Segoe UI" w:cs="Segoe UI" w:eastAsia="Segoe UI" w:hAnsi="Segoe UI"/>
          <w:i/>
          <w:iCs/>
          <w:color w:val="666666"/>
          <w:sz w:val="22"/>
          <w:szCs w:val="22"/>
        </w:rPr>
        <w:t xml:space="preserve">Usage: extremely safe — NS is publicly branding their safety program with the exact language The Rail Way uses. This validates The Rail Way’s entire positioning.</w:t>
      </w:r>
    </w:p>
    <w:p>
      <w:pPr>
        <w:pBdr>
          <w:bottom w:val="single" w:color="DDDDDD" w:sz="1"/>
        </w:pBdr>
        <w:spacing w:after="200" w:before="200"/>
      </w:pPr>
      <w:r>
        <w:rPr>
          <w:sz w:val="8"/>
          <w:szCs w:val="8"/>
        </w:rPr>
        <w:t xml:space="preserve"> </w:t>
      </w:r>
    </w:p>
    <w:p>
      <w:pPr>
        <w:pStyle w:val="Heading1"/>
        <w:spacing w:after="120" w:before="400"/>
      </w:pPr>
      <w:r>
        <w:rPr>
          <w:rFonts w:ascii="Georgia" w:cs="Georgia" w:eastAsia="Georgia" w:hAnsi="Georgia"/>
          <w:b/>
          <w:bCs/>
          <w:color w:val="2C2C2C"/>
        </w:rPr>
        <w:t xml:space="preserve">Recommended Next Steps</w:t>
      </w:r>
    </w:p>
    <w:p>
      <w:pPr>
        <w:pStyle w:val="ListParagraph"/>
        <w:numPr>
          <w:ilvl w:val="0"/>
          <w:numId w:val="2"/>
        </w:numPr>
        <w:spacing w:after="50"/>
      </w:pPr>
      <w:r>
        <w:rPr>
          <w:rFonts w:ascii="Segoe UI" w:cs="Segoe UI" w:eastAsia="Segoe UI" w:hAnsi="Segoe UI"/>
          <w:color w:val="666666"/>
          <w:sz w:val="21"/>
          <w:szCs w:val="21"/>
        </w:rPr>
        <w:t xml:space="preserve">Pauline reviews this memo and confirms comfort level with the safe language patterns</w:t>
      </w:r>
    </w:p>
    <w:p>
      <w:pPr>
        <w:pStyle w:val="ListParagraph"/>
        <w:numPr>
          <w:ilvl w:val="0"/>
          <w:numId w:val="2"/>
        </w:numPr>
        <w:spacing w:after="50"/>
      </w:pPr>
      <w:r>
        <w:rPr>
          <w:rFonts w:ascii="Segoe UI" w:cs="Segoe UI" w:eastAsia="Segoe UI" w:hAnsi="Segoe UI"/>
          <w:color w:val="666666"/>
          <w:sz w:val="21"/>
          <w:szCs w:val="21"/>
        </w:rPr>
        <w:t xml:space="preserve">Kyle updates the site with the approved language (stats bar, recognition card, bio addition)</w:t>
      </w:r>
    </w:p>
    <w:p>
      <w:pPr>
        <w:pStyle w:val="ListParagraph"/>
        <w:numPr>
          <w:ilvl w:val="0"/>
          <w:numId w:val="2"/>
        </w:numPr>
        <w:spacing w:after="50"/>
      </w:pPr>
      <w:r>
        <w:rPr>
          <w:rFonts w:ascii="Segoe UI" w:cs="Segoe UI" w:eastAsia="Segoe UI" w:hAnsi="Segoe UI"/>
          <w:color w:val="666666"/>
          <w:sz w:val="21"/>
          <w:szCs w:val="21"/>
        </w:rPr>
        <w:t xml:space="preserve">Consider a pillar article using only public NS data — high SEO value, zero legal risk</w:t>
      </w:r>
    </w:p>
    <w:p>
      <w:pPr>
        <w:pStyle w:val="ListParagraph"/>
        <w:numPr>
          <w:ilvl w:val="0"/>
          <w:numId w:val="2"/>
        </w:numPr>
        <w:spacing w:after="50"/>
      </w:pPr>
      <w:r>
        <w:rPr>
          <w:rFonts w:ascii="Segoe UI" w:cs="Segoe UI" w:eastAsia="Segoe UI" w:hAnsi="Segoe UI"/>
          <w:color w:val="666666"/>
          <w:sz w:val="21"/>
          <w:szCs w:val="21"/>
        </w:rPr>
        <w:t xml:space="preserve">Do NOT send any draft language to NS for approval — that invites them to say no. Use only public data and let the juxtaposition speak for itself</w:t>
      </w:r>
    </w:p>
    <w:p>
      <w:pPr>
        <w:pStyle w:val="ListParagraph"/>
        <w:numPr>
          <w:ilvl w:val="0"/>
          <w:numId w:val="2"/>
        </w:numPr>
        <w:spacing w:after="50"/>
      </w:pPr>
      <w:r>
        <w:rPr>
          <w:rFonts w:ascii="Segoe UI" w:cs="Segoe UI" w:eastAsia="Segoe UI" w:hAnsi="Segoe UI"/>
          <w:color w:val="666666"/>
          <w:sz w:val="21"/>
          <w:szCs w:val="21"/>
        </w:rPr>
        <w:t xml:space="preserve">Keep the existing recognition cards (John Orr, Diane Barnett) — these name NS through individual awards, which is the softest touch</w:t>
      </w:r>
    </w:p>
    <w:p>
      <w:pPr>
        <w:pBdr>
          <w:bottom w:val="single" w:color="DDDDDD" w:sz="1"/>
        </w:pBdr>
        <w:spacing w:after="200" w:before="200"/>
      </w:pPr>
      <w:r>
        <w:rPr>
          <w:sz w:val="8"/>
          <w:szCs w:val="8"/>
        </w:rPr>
        <w:t xml:space="preserve"> </w:t>
      </w:r>
    </w:p>
    <w:p>
      <w:pPr>
        <w:spacing w:after="100"/>
      </w:pPr>
      <w:r>
        <w:rPr>
          <w:rFonts w:ascii="Segoe UI" w:cs="Segoe UI" w:eastAsia="Segoe UI" w:hAnsi="Segoe UI"/>
          <w:b/>
          <w:bCs/>
          <w:color w:val="CC4444"/>
          <w:sz w:val="22"/>
          <w:szCs w:val="22"/>
        </w:rPr>
        <w:t xml:space="preserve">This memo is for internal use by Acceler8Now and KingdomBuilding Leadership only.</w:t>
      </w:r>
    </w:p>
    <w:p>
      <w:pPr>
        <w:spacing w:after="100"/>
      </w:pPr>
      <w:r>
        <w:rPr>
          <w:rFonts w:ascii="Segoe UI" w:cs="Segoe UI" w:eastAsia="Segoe UI" w:hAnsi="Segoe UI"/>
          <w:i/>
          <w:iCs/>
          <w:color w:val="999999"/>
          <w:sz w:val="22"/>
          <w:szCs w:val="22"/>
        </w:rPr>
        <w:t xml:space="preserve">Prepared by Acceler8Now / Kyle Moyer  —  March 17,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pPr>
    <w:rPr>
      <w:rFonts w:ascii="Georgia" w:cs="Georgia" w:eastAsia="Georgia" w:hAnsi="Georgia"/>
      <w:b/>
      <w:bCs/>
      <w:color w:val="2C2C2C"/>
      <w:sz w:val="32"/>
      <w:szCs w:val="32"/>
    </w:rPr>
  </w:style>
  <w:style w:type="paragraph" w:styleId="Heading2">
    <w:name w:val="Heading 2"/>
    <w:basedOn w:val="Normal"/>
    <w:next w:val="Normal"/>
    <w:qFormat/>
    <w:pPr>
      <w:spacing w:after="100" w:before="260"/>
    </w:pPr>
    <w:rPr>
      <w:rFonts w:ascii="Georgia" w:cs="Georgia" w:eastAsia="Georgia" w:hAnsi="Georgia"/>
      <w:b/>
      <w:bCs/>
      <w:color w:val="2C2C2C"/>
      <w:sz w:val="26"/>
      <w:szCs w:val="26"/>
    </w:rPr>
  </w:style>
  <w:style w:type="paragraph" w:styleId="Heading3">
    <w:name w:val="Heading 3"/>
    <w:basedOn w:val="Normal"/>
    <w:next w:val="Normal"/>
    <w:qFormat/>
    <w:pPr>
      <w:spacing w:after="80" w:before="180"/>
    </w:pPr>
    <w:rPr>
      <w:rFonts w:ascii="Georgia" w:cs="Georgia" w:eastAsia="Georgia" w:hAnsi="Georgia"/>
      <w:b/>
      <w:bCs/>
      <w:color w:val="C4622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2026-03-17T17:25:34.546Z</dcterms:created>
  <dcterms:modified xsi:type="dcterms:W3CDTF">2026-03-17T17:25:34.547Z</dcterms:modified>
</cp:coreProperties>
</file>

<file path=docProps/custom.xml><?xml version="1.0" encoding="utf-8"?>
<Properties xmlns="http://schemas.openxmlformats.org/officeDocument/2006/custom-properties" xmlns:vt="http://schemas.openxmlformats.org/officeDocument/2006/docPropsVTypes"/>
</file>