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99D1" w14:textId="77777777" w:rsidR="00830AA0" w:rsidRPr="00BD7886" w:rsidRDefault="007D4E5F" w:rsidP="00305917">
      <w:pPr>
        <w:rPr>
          <w:rFonts w:ascii="Arial" w:hAnsi="Arial" w:cs="Arial"/>
          <w:b/>
          <w:lang w:val="en-GB"/>
        </w:rPr>
      </w:pPr>
      <w:r w:rsidRPr="00BD7886">
        <w:rPr>
          <w:rFonts w:ascii="Arial" w:hAnsi="Arial" w:cs="Arial"/>
          <w:b/>
          <w:lang w:val="en-GB"/>
        </w:rPr>
        <w:t>Beschreibung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BD7886">
        <w:rPr>
          <w:rFonts w:ascii="Arial" w:hAnsi="Arial" w:cs="Arial"/>
          <w:u w:val="single"/>
          <w:lang w:val="de-CH"/>
        </w:rPr>
        <w:t>«RTD» Real Time Dat</w:t>
      </w:r>
      <w:r w:rsidR="00A871A5" w:rsidRPr="00BD7886">
        <w:rPr>
          <w:rFonts w:ascii="Arial" w:hAnsi="Arial" w:cs="Arial"/>
          <w:u w:val="single"/>
          <w:lang w:val="de-CH"/>
        </w:rPr>
        <w:t>a</w:t>
      </w:r>
      <w:r w:rsidRPr="00BD7886">
        <w:rPr>
          <w:rFonts w:ascii="Arial" w:hAnsi="Arial" w:cs="Arial"/>
          <w:u w:val="single"/>
          <w:lang w:val="de-CH"/>
        </w:rPr>
        <w:t>»</w:t>
      </w:r>
      <w:r w:rsidR="007D4E5F" w:rsidRPr="00BD7886">
        <w:rPr>
          <w:rFonts w:ascii="Arial" w:hAnsi="Arial" w:cs="Arial"/>
          <w:u w:val="single"/>
          <w:lang w:val="de-CH"/>
        </w:rPr>
        <w:t xml:space="preserve"> / </w:t>
      </w:r>
      <w:r w:rsidR="00B15789" w:rsidRPr="00BD7886">
        <w:rPr>
          <w:rFonts w:ascii="Arial" w:hAnsi="Arial" w:cs="Arial"/>
          <w:u w:val="single"/>
          <w:lang w:val="de-CH"/>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r w:rsidR="00C27DC6" w:rsidRPr="00305917">
        <w:rPr>
          <w:rFonts w:ascii="Arial" w:hAnsi="Arial" w:cs="Arial"/>
          <w:color w:val="FF0000"/>
        </w:rPr>
        <w:t>Blockchain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r w:rsidR="00B27C03">
        <w:rPr>
          <w:rFonts w:ascii="Arial" w:hAnsi="Arial" w:cs="Arial"/>
          <w:color w:val="FF0000"/>
        </w:rPr>
        <w:t>Litec</w:t>
      </w:r>
      <w:r w:rsidR="00305917" w:rsidRPr="00305917">
        <w:rPr>
          <w:rFonts w:ascii="Arial" w:hAnsi="Arial" w:cs="Arial"/>
          <w:color w:val="FF0000"/>
        </w:rPr>
        <w:t>oin</w:t>
      </w:r>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r w:rsidRPr="0061768F">
        <w:rPr>
          <w:rFonts w:ascii="Arial" w:hAnsi="Arial" w:cs="Arial"/>
          <w:u w:val="single"/>
        </w:rPr>
        <w:t>ZZZInputUI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Controller: Arbitrage.analyze</w:t>
      </w:r>
    </w:p>
    <w:p w14:paraId="6BA8816C" w14:textId="77777777" w:rsidR="005B0653" w:rsidRDefault="005B0653" w:rsidP="005B0653">
      <w:pPr>
        <w:pStyle w:val="Listenabsatz"/>
        <w:numPr>
          <w:ilvl w:val="0"/>
          <w:numId w:val="1"/>
        </w:numPr>
        <w:rPr>
          <w:rFonts w:ascii="Arial" w:hAnsi="Arial" w:cs="Arial"/>
        </w:rPr>
      </w:pPr>
      <w:r>
        <w:rPr>
          <w:rFonts w:ascii="Arial" w:hAnsi="Arial" w:cs="Arial"/>
        </w:rPr>
        <w:t>Admin: PaiRiT.check</w:t>
      </w:r>
    </w:p>
    <w:p w14:paraId="3A79EB78" w14:textId="7D4E8224" w:rsidR="005B0653" w:rsidRPr="00EA5BF5" w:rsidRDefault="005B0653" w:rsidP="005B0653">
      <w:pPr>
        <w:pStyle w:val="Listenabsatz"/>
        <w:numPr>
          <w:ilvl w:val="0"/>
          <w:numId w:val="1"/>
        </w:numPr>
        <w:rPr>
          <w:rFonts w:ascii="Arial" w:hAnsi="Arial" w:cs="Arial"/>
          <w:lang w:val="en-GB"/>
        </w:rPr>
      </w:pPr>
      <w:r w:rsidRPr="00EA5BF5">
        <w:rPr>
          <w:rFonts w:ascii="Arial" w:hAnsi="Arial" w:cs="Arial"/>
          <w:lang w:val="en-GB"/>
        </w:rPr>
        <w:t xml:space="preserve">Kunde: </w:t>
      </w:r>
      <w:r w:rsidR="00BD7886" w:rsidRPr="00EA5BF5">
        <w:rPr>
          <w:rFonts w:ascii="Arial" w:hAnsi="Arial" w:cs="Arial"/>
          <w:lang w:val="en-GB"/>
        </w:rPr>
        <w:t>Engine.place</w:t>
      </w:r>
      <w:r w:rsidR="00EA5BF5" w:rsidRPr="00EA5BF5">
        <w:rPr>
          <w:rFonts w:ascii="Arial" w:hAnsi="Arial" w:cs="Arial"/>
          <w:lang w:val="en-GB"/>
        </w:rPr>
        <w:t xml:space="preserve"> (Banlag</w:t>
      </w:r>
      <w:r w:rsidR="00EA5BF5">
        <w:rPr>
          <w:rFonts w:ascii="Arial" w:hAnsi="Arial" w:cs="Arial"/>
          <w:lang w:val="en-GB"/>
        </w:rPr>
        <w:t>e.java source)</w:t>
      </w:r>
    </w:p>
    <w:p w14:paraId="036047E0" w14:textId="1FB21C71" w:rsidR="005B0653" w:rsidRPr="00EA5BF5" w:rsidRDefault="005B0653" w:rsidP="00305917">
      <w:pPr>
        <w:rPr>
          <w:rFonts w:ascii="Arial" w:hAnsi="Arial" w:cs="Arial"/>
          <w:lang w:val="en-GB"/>
        </w:rPr>
      </w:pPr>
    </w:p>
    <w:p w14:paraId="0EF9DA25" w14:textId="77777777" w:rsidR="005B0653" w:rsidRPr="00EA5BF5" w:rsidRDefault="005B0653" w:rsidP="00305917">
      <w:pPr>
        <w:rPr>
          <w:rFonts w:ascii="Arial" w:hAnsi="Arial" w:cs="Arial"/>
          <w:lang w:val="en-GB"/>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r>
        <w:rPr>
          <w:rFonts w:ascii="Arial" w:hAnsi="Arial" w:cs="Arial"/>
          <w:color w:val="FF0000"/>
        </w:rPr>
        <w:t>Crypto</w:t>
      </w:r>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istige Anlagen unterschiedliche Einzahlungskonti existieren.</w:t>
      </w:r>
    </w:p>
    <w:p w14:paraId="2D1A0A78" w14:textId="77777777" w:rsidR="00DD2ECA" w:rsidRPr="00C27DC6" w:rsidRDefault="00DD2ECA" w:rsidP="00305917">
      <w:pPr>
        <w:rPr>
          <w:rFonts w:ascii="Arial" w:hAnsi="Arial" w:cs="Arial"/>
        </w:rPr>
      </w:pPr>
    </w:p>
    <w:p w14:paraId="54B1D5C8" w14:textId="77777777" w:rsidR="00DD2ECA" w:rsidRPr="00BD7886" w:rsidRDefault="00DD2ECA" w:rsidP="00305917">
      <w:pPr>
        <w:rPr>
          <w:rFonts w:ascii="Arial" w:hAnsi="Arial" w:cs="Arial"/>
          <w:lang w:val="de-CH"/>
        </w:rPr>
      </w:pPr>
    </w:p>
    <w:p w14:paraId="25C2A95B" w14:textId="7D856DF3" w:rsidR="00505D6B" w:rsidRPr="00BD7886" w:rsidRDefault="00505D6B" w:rsidP="00305917">
      <w:pPr>
        <w:rPr>
          <w:rFonts w:ascii="Arial" w:hAnsi="Arial" w:cs="Arial"/>
          <w:u w:val="single"/>
          <w:lang w:val="de-CH"/>
        </w:rPr>
      </w:pPr>
      <w:r w:rsidRPr="00BD7886">
        <w:rPr>
          <w:rFonts w:ascii="Arial" w:hAnsi="Arial" w:cs="Arial"/>
          <w:u w:val="single"/>
          <w:lang w:val="de-CH"/>
        </w:rPr>
        <w:t>Engine / manuell «traden»</w:t>
      </w:r>
    </w:p>
    <w:p w14:paraId="78CDFD86" w14:textId="77777777" w:rsidR="004143BD" w:rsidRDefault="004143BD" w:rsidP="00305917">
      <w:pPr>
        <w:rPr>
          <w:rFonts w:ascii="Arial" w:hAnsi="Arial" w:cs="Arial"/>
        </w:rPr>
      </w:pPr>
      <w:r>
        <w:rPr>
          <w:rFonts w:ascii="Arial" w:hAnsi="Arial" w:cs="Arial"/>
        </w:rPr>
        <w:t xml:space="preserve">*Still in Development* </w:t>
      </w:r>
      <w:r w:rsidR="00531932">
        <w:rPr>
          <w:rFonts w:ascii="Arial" w:hAnsi="Arial" w:cs="Arial"/>
        </w:rPr>
        <w:t>Dies ist die kurzfristige Anlagestrategie</w:t>
      </w:r>
      <w:r w:rsidR="00693141">
        <w:rPr>
          <w:rFonts w:ascii="Arial" w:hAnsi="Arial" w:cs="Arial"/>
        </w:rPr>
        <w:t xml:space="preserve"> für gierige und risikobewusste Anleger</w:t>
      </w:r>
      <w:r w:rsidR="00AB0DE9">
        <w:rPr>
          <w:rFonts w:ascii="Arial" w:hAnsi="Arial" w:cs="Arial"/>
        </w:rPr>
        <w:t xml:space="preserve">. </w:t>
      </w:r>
      <w:r w:rsidR="001F630F">
        <w:rPr>
          <w:rFonts w:ascii="Arial" w:hAnsi="Arial" w:cs="Arial"/>
        </w:rPr>
        <w:t xml:space="preserve">Der </w:t>
      </w:r>
      <w:r w:rsidR="00693141">
        <w:rPr>
          <w:rFonts w:ascii="Arial" w:hAnsi="Arial" w:cs="Arial"/>
        </w:rPr>
        <w:t xml:space="preserve">Einsatz wird genau 2 Wochen </w:t>
      </w:r>
      <w:r>
        <w:rPr>
          <w:rFonts w:ascii="Arial" w:hAnsi="Arial" w:cs="Arial"/>
        </w:rPr>
        <w:t xml:space="preserve">lang </w:t>
      </w:r>
      <w:r w:rsidR="00693141">
        <w:rPr>
          <w:rFonts w:ascii="Arial" w:hAnsi="Arial" w:cs="Arial"/>
        </w:rPr>
        <w:t>verwendet. Durch den Einsatz</w:t>
      </w:r>
      <w:r w:rsidR="00531932">
        <w:rPr>
          <w:rFonts w:ascii="Arial" w:hAnsi="Arial" w:cs="Arial"/>
        </w:rPr>
        <w:t xml:space="preserve"> </w:t>
      </w:r>
      <w:r w:rsidR="00693141">
        <w:rPr>
          <w:rFonts w:ascii="Arial" w:hAnsi="Arial" w:cs="Arial"/>
        </w:rPr>
        <w:t>eines zweiten</w:t>
      </w:r>
      <w:r w:rsidR="00AB0DE9">
        <w:rPr>
          <w:rFonts w:ascii="Arial" w:hAnsi="Arial" w:cs="Arial"/>
        </w:rPr>
        <w:t xml:space="preserve"> Algorithmus </w:t>
      </w:r>
      <w:r>
        <w:rPr>
          <w:rFonts w:ascii="Arial" w:hAnsi="Arial" w:cs="Arial"/>
        </w:rPr>
        <w:t>in Kombination mit</w:t>
      </w:r>
      <w:r w:rsidR="00AB0DE9">
        <w:rPr>
          <w:rFonts w:ascii="Arial" w:hAnsi="Arial" w:cs="Arial"/>
        </w:rPr>
        <w:t xml:space="preserve"> </w:t>
      </w:r>
      <w:r w:rsidR="00693141">
        <w:rPr>
          <w:rFonts w:ascii="Arial" w:hAnsi="Arial" w:cs="Arial"/>
        </w:rPr>
        <w:t xml:space="preserve">unserem </w:t>
      </w:r>
      <w:r>
        <w:rPr>
          <w:rFonts w:ascii="Arial" w:hAnsi="Arial" w:cs="Arial"/>
        </w:rPr>
        <w:t>«</w:t>
      </w:r>
      <w:r w:rsidRPr="004143BD">
        <w:rPr>
          <w:rFonts w:ascii="Arial" w:hAnsi="Arial" w:cs="Arial"/>
        </w:rPr>
        <w:t>RTD</w:t>
      </w:r>
      <w:r>
        <w:rPr>
          <w:rFonts w:ascii="Arial" w:hAnsi="Arial" w:cs="Arial"/>
        </w:rPr>
        <w:t>»-Tool</w:t>
      </w:r>
      <w:r w:rsidR="00693141">
        <w:rPr>
          <w:rFonts w:ascii="Arial" w:hAnsi="Arial" w:cs="Arial"/>
        </w:rPr>
        <w:t xml:space="preserve"> werden die </w:t>
      </w:r>
      <w:r>
        <w:rPr>
          <w:rFonts w:ascii="Arial" w:hAnsi="Arial" w:cs="Arial"/>
        </w:rPr>
        <w:t>Anlagen</w:t>
      </w:r>
      <w:r w:rsidR="00693141">
        <w:rPr>
          <w:rFonts w:ascii="Arial" w:hAnsi="Arial" w:cs="Arial"/>
        </w:rPr>
        <w:t xml:space="preserve"> </w:t>
      </w:r>
      <w:r>
        <w:rPr>
          <w:rFonts w:ascii="Arial" w:hAnsi="Arial" w:cs="Arial"/>
        </w:rPr>
        <w:t>von Hand</w:t>
      </w:r>
      <w:r w:rsidR="00693141">
        <w:rPr>
          <w:rFonts w:ascii="Arial" w:hAnsi="Arial" w:cs="Arial"/>
        </w:rPr>
        <w:t xml:space="preserve"> </w:t>
      </w:r>
      <w:r>
        <w:rPr>
          <w:rFonts w:ascii="Arial" w:hAnsi="Arial" w:cs="Arial"/>
        </w:rPr>
        <w:t>verwaltet</w:t>
      </w:r>
      <w:r w:rsidR="00693141">
        <w:rPr>
          <w:rFonts w:ascii="Arial" w:hAnsi="Arial" w:cs="Arial"/>
        </w:rPr>
        <w:t xml:space="preserve">. </w:t>
      </w:r>
      <w:r>
        <w:rPr>
          <w:rFonts w:ascii="Arial" w:hAnsi="Arial" w:cs="Arial"/>
        </w:rPr>
        <w:t>Dadurch</w:t>
      </w:r>
      <w:r w:rsidR="00693141">
        <w:rPr>
          <w:rFonts w:ascii="Arial" w:hAnsi="Arial" w:cs="Arial"/>
        </w:rPr>
        <w:t xml:space="preserve"> </w:t>
      </w:r>
      <w:r w:rsidR="00AB0DE9">
        <w:rPr>
          <w:rFonts w:ascii="Arial" w:hAnsi="Arial" w:cs="Arial"/>
        </w:rPr>
        <w:t xml:space="preserve">sind höhere Gewinne erzielbar. Es birgt jedoch auch höhere Risiken. </w:t>
      </w:r>
      <w:r w:rsidR="00693141">
        <w:rPr>
          <w:rFonts w:ascii="Arial" w:hAnsi="Arial" w:cs="Arial"/>
        </w:rPr>
        <w:t xml:space="preserve">Für die </w:t>
      </w:r>
      <w:r>
        <w:rPr>
          <w:rFonts w:ascii="Arial" w:hAnsi="Arial" w:cs="Arial"/>
        </w:rPr>
        <w:t>tägliche</w:t>
      </w:r>
      <w:r w:rsidR="00693141">
        <w:rPr>
          <w:rFonts w:ascii="Arial" w:hAnsi="Arial" w:cs="Arial"/>
        </w:rPr>
        <w:t xml:space="preserve"> </w:t>
      </w:r>
      <w:r>
        <w:rPr>
          <w:rFonts w:ascii="Arial" w:hAnsi="Arial" w:cs="Arial"/>
        </w:rPr>
        <w:t xml:space="preserve">Betreuung der Engine </w:t>
      </w:r>
      <w:r w:rsidR="00693141">
        <w:rPr>
          <w:rFonts w:ascii="Arial" w:hAnsi="Arial" w:cs="Arial"/>
        </w:rPr>
        <w:t xml:space="preserve">werden </w:t>
      </w:r>
      <w:r>
        <w:rPr>
          <w:rFonts w:ascii="Arial" w:hAnsi="Arial" w:cs="Arial"/>
        </w:rPr>
        <w:t xml:space="preserve">hohe </w:t>
      </w:r>
      <w:r w:rsidR="00693141">
        <w:rPr>
          <w:rFonts w:ascii="Arial" w:hAnsi="Arial" w:cs="Arial"/>
        </w:rPr>
        <w:t xml:space="preserve">Gebühren auf </w:t>
      </w:r>
      <w:r>
        <w:rPr>
          <w:rFonts w:ascii="Arial" w:hAnsi="Arial" w:cs="Arial"/>
        </w:rPr>
        <w:t>den Gewinn erhoben.</w:t>
      </w:r>
    </w:p>
    <w:p w14:paraId="02D80C2D" w14:textId="1183F86A" w:rsidR="00505D6B" w:rsidRPr="004143BD" w:rsidRDefault="004143BD" w:rsidP="00305917">
      <w:pPr>
        <w:rPr>
          <w:rFonts w:ascii="Arial" w:hAnsi="Arial" w:cs="Arial"/>
          <w:lang w:val="en-US"/>
        </w:rPr>
      </w:pPr>
      <w:r w:rsidRPr="004143BD">
        <w:rPr>
          <w:rFonts w:ascii="Arial" w:hAnsi="Arial" w:cs="Arial"/>
          <w:lang w:val="en-US"/>
        </w:rPr>
        <w:t>Geplanter Launch: Go Live 2</w:t>
      </w:r>
    </w:p>
    <w:p w14:paraId="37CD7233" w14:textId="77777777"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ED4695E" w:rsidR="00901925" w:rsidRPr="00EA5BF5" w:rsidRDefault="00EA5BF5" w:rsidP="002A77D6">
      <w:pPr>
        <w:rPr>
          <w:rFonts w:ascii="Arial" w:hAnsi="Arial" w:cs="Arial"/>
          <w:lang w:val="de-CH"/>
        </w:rPr>
      </w:pPr>
      <w:r w:rsidRPr="00EA5BF5">
        <w:rPr>
          <w:rFonts w:ascii="Arial" w:hAnsi="Arial" w:cs="Arial"/>
          <w:lang w:val="de-CH"/>
        </w:rPr>
        <w:t>Banlage = abstrakt</w:t>
      </w:r>
    </w:p>
    <w:p w14:paraId="1D2A4C1B" w14:textId="77777777" w:rsidR="0061768F" w:rsidRPr="00EA5BF5" w:rsidRDefault="0061768F" w:rsidP="002A77D6">
      <w:pPr>
        <w:rPr>
          <w:rFonts w:ascii="Arial" w:hAnsi="Arial" w:cs="Arial"/>
          <w:lang w:val="de-CH"/>
        </w:rPr>
      </w:pPr>
    </w:p>
    <w:p w14:paraId="3F00D2DD" w14:textId="08B5B229" w:rsidR="0061768F" w:rsidRPr="00EA5BF5" w:rsidRDefault="0061768F" w:rsidP="002A77D6">
      <w:pPr>
        <w:rPr>
          <w:rFonts w:ascii="Arial" w:hAnsi="Arial" w:cs="Arial"/>
          <w:u w:val="single"/>
          <w:lang w:val="en-GB"/>
        </w:rPr>
      </w:pPr>
      <w:r w:rsidRPr="00EA5BF5">
        <w:rPr>
          <w:rFonts w:ascii="Arial" w:hAnsi="Arial" w:cs="Arial"/>
          <w:u w:val="single"/>
          <w:lang w:val="en-GB"/>
        </w:rPr>
        <w:t xml:space="preserve">MainEngine = Engine </w:t>
      </w:r>
      <w:r w:rsidR="00EA5BF5" w:rsidRPr="00EA5BF5">
        <w:rPr>
          <w:rFonts w:ascii="Arial" w:hAnsi="Arial" w:cs="Arial"/>
          <w:u w:val="single"/>
          <w:lang w:val="en-GB"/>
        </w:rPr>
        <w:t>abstrakt &amp; extends Ba</w:t>
      </w:r>
      <w:r w:rsidR="00EA5BF5">
        <w:rPr>
          <w:rFonts w:ascii="Arial" w:hAnsi="Arial" w:cs="Arial"/>
          <w:u w:val="single"/>
          <w:lang w:val="en-GB"/>
        </w:rPr>
        <w:t>nlage</w:t>
      </w:r>
    </w:p>
    <w:p w14:paraId="70BED862" w14:textId="77777777" w:rsidR="0061768F" w:rsidRPr="00EA5BF5" w:rsidRDefault="0061768F" w:rsidP="002A77D6">
      <w:pPr>
        <w:rPr>
          <w:rFonts w:ascii="Arial" w:hAnsi="Arial" w:cs="Arial"/>
          <w:lang w:val="en-GB"/>
        </w:rPr>
      </w:pPr>
    </w:p>
    <w:p w14:paraId="0D29E3F9" w14:textId="2703614E" w:rsidR="0061768F" w:rsidRDefault="0061768F" w:rsidP="0061768F">
      <w:pPr>
        <w:pStyle w:val="Listenabsatz"/>
        <w:numPr>
          <w:ilvl w:val="0"/>
          <w:numId w:val="2"/>
        </w:numPr>
        <w:rPr>
          <w:rFonts w:ascii="Arial" w:hAnsi="Arial" w:cs="Arial"/>
        </w:rPr>
      </w:pPr>
      <w:r>
        <w:rPr>
          <w:rFonts w:ascii="Arial" w:hAnsi="Arial" w:cs="Arial"/>
        </w:rPr>
        <w:t>Arbitrage Engine</w:t>
      </w:r>
    </w:p>
    <w:p w14:paraId="47B8A41C" w14:textId="269C5ABF" w:rsidR="0061768F" w:rsidRDefault="0061768F" w:rsidP="0061768F">
      <w:pPr>
        <w:pStyle w:val="Listenabsatz"/>
        <w:numPr>
          <w:ilvl w:val="0"/>
          <w:numId w:val="2"/>
        </w:numPr>
        <w:rPr>
          <w:rFonts w:ascii="Arial" w:hAnsi="Arial" w:cs="Arial"/>
        </w:rPr>
      </w:pPr>
      <w:r>
        <w:rPr>
          <w:rFonts w:ascii="Arial" w:hAnsi="Arial" w:cs="Arial"/>
        </w:rPr>
        <w:t>PaiRiT Engine</w:t>
      </w:r>
    </w:p>
    <w:p w14:paraId="575224C8" w14:textId="4A24B37F" w:rsidR="005B0653" w:rsidRDefault="005B0653" w:rsidP="005B0653">
      <w:pPr>
        <w:rPr>
          <w:rFonts w:ascii="Arial" w:hAnsi="Arial" w:cs="Arial"/>
        </w:rPr>
      </w:pPr>
    </w:p>
    <w:p w14:paraId="7D06F1AA" w14:textId="77777777" w:rsidR="005B0653" w:rsidRPr="005B0653" w:rsidRDefault="005B0653" w:rsidP="005B0653">
      <w:pPr>
        <w:rPr>
          <w:rFonts w:ascii="Arial" w:hAnsi="Arial" w:cs="Arial"/>
        </w:rPr>
      </w:pP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r w:rsidRPr="004143BD">
        <w:rPr>
          <w:rFonts w:ascii="Arial" w:hAnsi="Arial" w:cs="Arial"/>
          <w:u w:val="single"/>
          <w:lang w:val="en-US"/>
        </w:rPr>
        <w:t>Algorithmus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2ECA" w:rsidRDefault="005B0653" w:rsidP="005B0653">
      <w:pPr>
        <w:rPr>
          <w:rFonts w:ascii="Arial" w:hAnsi="Arial" w:cs="Arial"/>
          <w:u w:val="single"/>
        </w:rPr>
      </w:pPr>
      <w:r w:rsidRPr="00DD2ECA">
        <w:rPr>
          <w:rFonts w:ascii="Arial" w:hAnsi="Arial" w:cs="Arial"/>
          <w:u w:val="single"/>
        </w:rPr>
        <w:t>automatisier</w:t>
      </w:r>
      <w:r>
        <w:rPr>
          <w:rFonts w:ascii="Arial" w:hAnsi="Arial" w:cs="Arial"/>
          <w:u w:val="single"/>
        </w:rPr>
        <w:t>t</w:t>
      </w:r>
      <w:r w:rsidRPr="00DD2ECA">
        <w:rPr>
          <w:rFonts w:ascii="Arial" w:hAnsi="Arial" w:cs="Arial"/>
          <w:u w:val="single"/>
        </w:rPr>
        <w:t xml:space="preserve"> «traden»</w:t>
      </w:r>
    </w:p>
    <w:p w14:paraId="320C47AF" w14:textId="77777777" w:rsidR="005B0653" w:rsidRDefault="005B0653" w:rsidP="005B0653">
      <w:pPr>
        <w:rPr>
          <w:rFonts w:ascii="Arial" w:hAnsi="Arial" w:cs="Arial"/>
        </w:rPr>
      </w:pPr>
      <w:r>
        <w:rPr>
          <w:rFonts w:ascii="Arial" w:hAnsi="Arial" w:cs="Arial"/>
        </w:rPr>
        <w:t xml:space="preserve">Die langfristige Anlagestrategie, welche kein grosses Risiko trägt, beinhaltet jedoch auch geringere Gewinnchancen. Sie stellt einen Safe Haven für sorgenfreies </w:t>
      </w:r>
      <w:r>
        <w:rPr>
          <w:rFonts w:ascii="Arial" w:hAnsi="Arial" w:cs="Arial"/>
        </w:rPr>
        <w:lastRenderedPageBreak/>
        <w:t>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r w:rsidRPr="0061768F">
        <w:rPr>
          <w:rFonts w:ascii="Arial" w:hAnsi="Arial" w:cs="Arial"/>
          <w:lang w:val="en-GB"/>
        </w:rPr>
        <w:t>Geplanter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7830FF0" w14:textId="77777777" w:rsidR="00901925" w:rsidRPr="005B0653" w:rsidRDefault="00901925" w:rsidP="00901925">
      <w:pPr>
        <w:rPr>
          <w:rFonts w:ascii="Arial" w:hAnsi="Arial" w:cs="Arial"/>
          <w:b/>
          <w:lang w:val="en-US"/>
        </w:rPr>
      </w:pPr>
      <w:r w:rsidRPr="005B0653">
        <w:rPr>
          <w:rFonts w:ascii="Arial" w:hAnsi="Arial" w:cs="Arial"/>
          <w:b/>
          <w:lang w:val="en-US"/>
        </w:rPr>
        <w:t>Read API</w:t>
      </w:r>
    </w:p>
    <w:p w14:paraId="1A072DDA" w14:textId="77777777" w:rsidR="00901925" w:rsidRPr="00C90554" w:rsidRDefault="00901925" w:rsidP="00901925">
      <w:pPr>
        <w:rPr>
          <w:rFonts w:ascii="Arial" w:hAnsi="Arial" w:cs="Arial"/>
          <w:lang w:val="en-US"/>
        </w:rPr>
      </w:pPr>
    </w:p>
    <w:p w14:paraId="2076B87F" w14:textId="77777777" w:rsidR="00901925" w:rsidRDefault="00901925" w:rsidP="00901925">
      <w:pPr>
        <w:rPr>
          <w:rFonts w:ascii="Arial" w:hAnsi="Arial" w:cs="Arial"/>
          <w:lang w:val="en-GB"/>
        </w:rPr>
      </w:pPr>
      <w:r>
        <w:rPr>
          <w:rFonts w:ascii="Arial" w:hAnsi="Arial" w:cs="Arial"/>
          <w:lang w:val="en-GB"/>
        </w:rPr>
        <w:t>Buy Order Input: API HTTPS Request Highest Bid plus 1 Rappen</w:t>
      </w:r>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Lowest Sell minus 1 Rappen</w:t>
      </w:r>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12E6F9BF" w14:textId="77777777" w:rsidR="00901925" w:rsidRDefault="00901925" w:rsidP="00901925">
      <w:pPr>
        <w:rPr>
          <w:rFonts w:ascii="Arial" w:hAnsi="Arial" w:cs="Arial"/>
          <w:lang w:val="en-GB"/>
        </w:rPr>
      </w:pPr>
    </w:p>
    <w:p w14:paraId="4207C0AB" w14:textId="77777777" w:rsidR="00901925" w:rsidRDefault="00901925" w:rsidP="00901925">
      <w:pPr>
        <w:rPr>
          <w:rFonts w:ascii="Arial" w:hAnsi="Arial" w:cs="Arial"/>
          <w:lang w:val="en-GB"/>
        </w:rPr>
      </w:pPr>
      <w:r>
        <w:rPr>
          <w:rFonts w:ascii="Arial" w:hAnsi="Arial" w:cs="Arial"/>
          <w:lang w:val="en-GB"/>
        </w:rPr>
        <w:t>Filter</w:t>
      </w:r>
    </w:p>
    <w:p w14:paraId="3E77475F" w14:textId="77777777" w:rsidR="00901925" w:rsidRDefault="00901925" w:rsidP="00901925">
      <w:pPr>
        <w:rPr>
          <w:rFonts w:ascii="Arial" w:hAnsi="Arial" w:cs="Arial"/>
          <w:lang w:val="en-GB"/>
        </w:rPr>
      </w:pPr>
      <w:r>
        <w:rPr>
          <w:rFonts w:ascii="Arial" w:hAnsi="Arial" w:cs="Arial"/>
          <w:lang w:val="en-GB"/>
        </w:rPr>
        <w:t>Highest Bid / Lowest Sell above 1 LTC volume</w:t>
      </w:r>
    </w:p>
    <w:p w14:paraId="00F9ECE5" w14:textId="77777777" w:rsidR="00901925" w:rsidRDefault="00901925" w:rsidP="00901925">
      <w:pPr>
        <w:rPr>
          <w:rFonts w:ascii="Arial" w:hAnsi="Arial" w:cs="Arial"/>
          <w:lang w:val="en-GB"/>
        </w:rPr>
      </w:pPr>
    </w:p>
    <w:p w14:paraId="0F01B774" w14:textId="77777777" w:rsidR="00901925" w:rsidRDefault="00901925" w:rsidP="00901925">
      <w:pPr>
        <w:rPr>
          <w:rFonts w:ascii="Arial" w:hAnsi="Arial" w:cs="Arial"/>
          <w:lang w:val="en-GB"/>
        </w:rPr>
      </w:pPr>
      <w:r>
        <w:rPr>
          <w:rFonts w:ascii="Arial" w:hAnsi="Arial" w:cs="Arial"/>
          <w:lang w:val="en-GB"/>
        </w:rPr>
        <w:t>Watchdog is active when SELL/BUY balance &lt;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p>
    <w:p w14:paraId="11445EC2" w14:textId="06F8AC98" w:rsidR="005B0653" w:rsidRPr="005B0653" w:rsidRDefault="00BD7886" w:rsidP="00901925">
      <w:pPr>
        <w:rPr>
          <w:rFonts w:ascii="Arial" w:hAnsi="Arial" w:cs="Arial"/>
          <w:u w:val="single"/>
          <w:lang w:val="en-GB"/>
        </w:rPr>
      </w:pPr>
      <w:r>
        <w:rPr>
          <w:rFonts w:ascii="Arial" w:hAnsi="Arial" w:cs="Arial"/>
          <w:u w:val="single"/>
          <w:lang w:val="en-GB"/>
        </w:rPr>
        <w:t xml:space="preserve">Engine PaiRiT: </w:t>
      </w:r>
      <w:r w:rsidR="005B0653" w:rsidRPr="005B0653">
        <w:rPr>
          <w:rFonts w:ascii="Arial" w:hAnsi="Arial" w:cs="Arial"/>
          <w:u w:val="single"/>
          <w:lang w:val="en-GB"/>
        </w:rPr>
        <w:t>Algorithmus 2</w:t>
      </w:r>
      <w:r>
        <w:rPr>
          <w:rFonts w:ascii="Arial" w:hAnsi="Arial" w:cs="Arial"/>
          <w:u w:val="single"/>
          <w:lang w:val="en-GB"/>
        </w:rPr>
        <w:t xml:space="preserve"> – Pair the Pair</w:t>
      </w: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451A1804" w14:textId="500F2A45" w:rsidR="005B0653" w:rsidRDefault="005B0653" w:rsidP="00901925">
      <w:pPr>
        <w:rPr>
          <w:rFonts w:ascii="Arial" w:hAnsi="Arial" w:cs="Arial"/>
          <w:lang w:val="en-GB"/>
        </w:rPr>
      </w:pPr>
      <w:r>
        <w:rPr>
          <w:rFonts w:ascii="Arial" w:hAnsi="Arial" w:cs="Arial"/>
          <w:lang w:val="en-GB"/>
        </w:rPr>
        <w:t>Provide Array for RTDF</w:t>
      </w:r>
    </w:p>
    <w:p w14:paraId="70D58436" w14:textId="4A3E0214" w:rsidR="00F77B7F" w:rsidRDefault="00F77B7F" w:rsidP="00901925">
      <w:pPr>
        <w:rPr>
          <w:rFonts w:ascii="Arial" w:hAnsi="Arial" w:cs="Arial"/>
          <w:lang w:val="en-GB"/>
        </w:rPr>
      </w:pPr>
    </w:p>
    <w:p w14:paraId="47E299D9" w14:textId="4D002A7D" w:rsidR="00F77B7F" w:rsidRDefault="00F77B7F" w:rsidP="00901925">
      <w:pPr>
        <w:rPr>
          <w:rFonts w:ascii="Arial" w:hAnsi="Arial" w:cs="Arial"/>
          <w:lang w:val="en-GB"/>
        </w:rPr>
      </w:pPr>
      <w:r w:rsidRPr="00F77B7F">
        <w:rPr>
          <w:rFonts w:ascii="Arial" w:hAnsi="Arial" w:cs="Arial"/>
          <w:b/>
          <w:bCs/>
          <w:color w:val="222222"/>
          <w:sz w:val="21"/>
          <w:szCs w:val="21"/>
          <w:shd w:val="clear" w:color="auto" w:fill="FFFFFF"/>
          <w:lang w:val="en-GB"/>
        </w:rPr>
        <w:t>Triangular arbitrage</w:t>
      </w:r>
      <w:r w:rsidRPr="00F77B7F">
        <w:rPr>
          <w:rFonts w:ascii="Arial" w:hAnsi="Arial" w:cs="Arial"/>
          <w:color w:val="222222"/>
          <w:sz w:val="21"/>
          <w:szCs w:val="21"/>
          <w:shd w:val="clear" w:color="auto" w:fill="FFFFFF"/>
          <w:lang w:val="en-GB"/>
        </w:rPr>
        <w:t> (also referred to as </w:t>
      </w:r>
      <w:r w:rsidRPr="00F77B7F">
        <w:rPr>
          <w:rFonts w:ascii="Arial" w:hAnsi="Arial" w:cs="Arial"/>
          <w:b/>
          <w:bCs/>
          <w:color w:val="222222"/>
          <w:sz w:val="21"/>
          <w:szCs w:val="21"/>
          <w:shd w:val="clear" w:color="auto" w:fill="FFFFFF"/>
          <w:lang w:val="en-GB"/>
        </w:rPr>
        <w:t>cross currency arbitrage</w:t>
      </w:r>
      <w:r w:rsidRPr="00F77B7F">
        <w:rPr>
          <w:rFonts w:ascii="Arial" w:hAnsi="Arial" w:cs="Arial"/>
          <w:color w:val="222222"/>
          <w:sz w:val="21"/>
          <w:szCs w:val="21"/>
          <w:shd w:val="clear" w:color="auto" w:fill="FFFFFF"/>
          <w:lang w:val="en-GB"/>
        </w:rPr>
        <w:t> or </w:t>
      </w:r>
      <w:r w:rsidRPr="00F77B7F">
        <w:rPr>
          <w:rFonts w:ascii="Arial" w:hAnsi="Arial" w:cs="Arial"/>
          <w:b/>
          <w:bCs/>
          <w:color w:val="222222"/>
          <w:sz w:val="21"/>
          <w:szCs w:val="21"/>
          <w:shd w:val="clear" w:color="auto" w:fill="FFFFFF"/>
          <w:lang w:val="en-GB"/>
        </w:rPr>
        <w:t>three-point arbitrage</w:t>
      </w:r>
      <w:r w:rsidRPr="00F77B7F">
        <w:rPr>
          <w:rFonts w:ascii="Arial" w:hAnsi="Arial" w:cs="Arial"/>
          <w:color w:val="222222"/>
          <w:sz w:val="21"/>
          <w:szCs w:val="21"/>
          <w:shd w:val="clear" w:color="auto" w:fill="FFFFFF"/>
          <w:lang w:val="en-GB"/>
        </w:rPr>
        <w:t>) is the act of exploiting an </w:t>
      </w:r>
      <w:hyperlink r:id="rId7" w:tooltip="Arbitrage" w:history="1">
        <w:r w:rsidRPr="00F77B7F">
          <w:rPr>
            <w:rStyle w:val="Hyperlink"/>
            <w:rFonts w:ascii="Arial" w:hAnsi="Arial" w:cs="Arial"/>
            <w:color w:val="0B0080"/>
            <w:sz w:val="21"/>
            <w:szCs w:val="21"/>
            <w:shd w:val="clear" w:color="auto" w:fill="FFFFFF"/>
            <w:lang w:val="en-GB"/>
          </w:rPr>
          <w:t>arbitrage</w:t>
        </w:r>
      </w:hyperlink>
      <w:r w:rsidRPr="00F77B7F">
        <w:rPr>
          <w:rFonts w:ascii="Arial" w:hAnsi="Arial" w:cs="Arial"/>
          <w:color w:val="222222"/>
          <w:sz w:val="21"/>
          <w:szCs w:val="21"/>
          <w:shd w:val="clear" w:color="auto" w:fill="FFFFFF"/>
          <w:lang w:val="en-GB"/>
        </w:rPr>
        <w:t> opportunity resulting from a pricing discrepancy among three different </w:t>
      </w:r>
      <w:hyperlink r:id="rId8" w:tooltip="Currency" w:history="1">
        <w:r w:rsidRPr="00F77B7F">
          <w:rPr>
            <w:rStyle w:val="Hyperlink"/>
            <w:rFonts w:ascii="Arial" w:hAnsi="Arial" w:cs="Arial"/>
            <w:color w:val="0B0080"/>
            <w:sz w:val="21"/>
            <w:szCs w:val="21"/>
            <w:shd w:val="clear" w:color="auto" w:fill="FFFFFF"/>
            <w:lang w:val="en-GB"/>
          </w:rPr>
          <w:t>currencies</w:t>
        </w:r>
      </w:hyperlink>
      <w:r w:rsidRPr="00F77B7F">
        <w:rPr>
          <w:rFonts w:ascii="Arial" w:hAnsi="Arial" w:cs="Arial"/>
          <w:color w:val="222222"/>
          <w:sz w:val="21"/>
          <w:szCs w:val="21"/>
          <w:shd w:val="clear" w:color="auto" w:fill="FFFFFF"/>
          <w:lang w:val="en-GB"/>
        </w:rPr>
        <w:t> in the </w:t>
      </w:r>
      <w:hyperlink r:id="rId9" w:tooltip="Foreign exchange market" w:history="1">
        <w:r w:rsidRPr="00F77B7F">
          <w:rPr>
            <w:rStyle w:val="Hyperlink"/>
            <w:rFonts w:ascii="Arial" w:hAnsi="Arial" w:cs="Arial"/>
            <w:color w:val="0B0080"/>
            <w:sz w:val="21"/>
            <w:szCs w:val="21"/>
            <w:shd w:val="clear" w:color="auto" w:fill="FFFFFF"/>
            <w:lang w:val="en-GB"/>
          </w:rPr>
          <w:t>foreign exchange market</w:t>
        </w:r>
      </w:hyperlink>
      <w:r w:rsidRPr="00F77B7F">
        <w:rPr>
          <w:rFonts w:ascii="Arial" w:hAnsi="Arial" w:cs="Arial"/>
          <w:color w:val="222222"/>
          <w:sz w:val="21"/>
          <w:szCs w:val="21"/>
          <w:shd w:val="clear" w:color="auto" w:fill="FFFFFF"/>
          <w:lang w:val="en-GB"/>
        </w:rPr>
        <w:t>.</w:t>
      </w:r>
      <w:hyperlink r:id="rId10" w:anchor="cite_note-Carbaugh_2005-1" w:history="1">
        <w:r w:rsidRPr="00F77B7F">
          <w:rPr>
            <w:rStyle w:val="Hyperlink"/>
            <w:rFonts w:ascii="Arial" w:hAnsi="Arial" w:cs="Arial"/>
            <w:color w:val="0B0080"/>
            <w:sz w:val="17"/>
            <w:szCs w:val="17"/>
            <w:shd w:val="clear" w:color="auto" w:fill="FFFFFF"/>
            <w:vertAlign w:val="superscript"/>
            <w:lang w:val="en-GB"/>
          </w:rPr>
          <w:t>[1]</w:t>
        </w:r>
      </w:hyperlink>
      <w:hyperlink r:id="rId11" w:anchor="cite_note-Pilbeam_2006-2" w:history="1">
        <w:r w:rsidRPr="00F77B7F">
          <w:rPr>
            <w:rStyle w:val="Hyperlink"/>
            <w:rFonts w:ascii="Arial" w:hAnsi="Arial" w:cs="Arial"/>
            <w:color w:val="0B0080"/>
            <w:sz w:val="17"/>
            <w:szCs w:val="17"/>
            <w:shd w:val="clear" w:color="auto" w:fill="FFFFFF"/>
            <w:vertAlign w:val="superscript"/>
            <w:lang w:val="en-GB"/>
          </w:rPr>
          <w:t>[2]</w:t>
        </w:r>
      </w:hyperlink>
      <w:hyperlink r:id="rId12" w:anchor="cite_note-Aiba_et_al._2002-3" w:history="1">
        <w:r w:rsidRPr="00F77B7F">
          <w:rPr>
            <w:rStyle w:val="Hyperlink"/>
            <w:rFonts w:ascii="Arial" w:hAnsi="Arial" w:cs="Arial"/>
            <w:color w:val="0B0080"/>
            <w:sz w:val="17"/>
            <w:szCs w:val="17"/>
            <w:shd w:val="clear" w:color="auto" w:fill="FFFFFF"/>
            <w:vertAlign w:val="superscript"/>
            <w:lang w:val="en-GB"/>
          </w:rPr>
          <w:t>[3]</w:t>
        </w:r>
      </w:hyperlink>
      <w:r w:rsidRPr="00F77B7F">
        <w:rPr>
          <w:rFonts w:ascii="Arial" w:hAnsi="Arial" w:cs="Arial"/>
          <w:color w:val="222222"/>
          <w:sz w:val="21"/>
          <w:szCs w:val="21"/>
          <w:shd w:val="clear" w:color="auto" w:fill="FFFFFF"/>
          <w:lang w:val="en-GB"/>
        </w:rPr>
        <w:t> A triangular arbitrage strategy involves three trades, exchanging the initial currency for a second, the second currency for a third, and the third currency for the initial. During the second trade, the arbitrageur locks in a zero-risk profit from the discrepancy that exists when the market </w:t>
      </w:r>
      <w:hyperlink r:id="rId13" w:tooltip="Exchange rate" w:history="1">
        <w:r w:rsidRPr="00F77B7F">
          <w:rPr>
            <w:rStyle w:val="Hyperlink"/>
            <w:rFonts w:ascii="Arial" w:hAnsi="Arial" w:cs="Arial"/>
            <w:color w:val="0B0080"/>
            <w:sz w:val="21"/>
            <w:szCs w:val="21"/>
            <w:shd w:val="clear" w:color="auto" w:fill="FFFFFF"/>
            <w:lang w:val="en-GB"/>
          </w:rPr>
          <w:t>cross exchange rate</w:t>
        </w:r>
      </w:hyperlink>
      <w:r w:rsidRPr="00F77B7F">
        <w:rPr>
          <w:rFonts w:ascii="Arial" w:hAnsi="Arial" w:cs="Arial"/>
          <w:color w:val="222222"/>
          <w:sz w:val="21"/>
          <w:szCs w:val="21"/>
          <w:shd w:val="clear" w:color="auto" w:fill="FFFFFF"/>
          <w:lang w:val="en-GB"/>
        </w:rPr>
        <w:t> is not aligned with the implicit cross exchange rate.</w:t>
      </w:r>
      <w:hyperlink r:id="rId14" w:anchor="cite_note-Madura_2007-4" w:history="1">
        <w:r w:rsidRPr="00F77B7F">
          <w:rPr>
            <w:rStyle w:val="Hyperlink"/>
            <w:rFonts w:ascii="Arial" w:hAnsi="Arial" w:cs="Arial"/>
            <w:color w:val="0B0080"/>
            <w:sz w:val="17"/>
            <w:szCs w:val="17"/>
            <w:shd w:val="clear" w:color="auto" w:fill="FFFFFF"/>
            <w:vertAlign w:val="superscript"/>
            <w:lang w:val="en-GB"/>
          </w:rPr>
          <w:t>[4]</w:t>
        </w:r>
      </w:hyperlink>
      <w:hyperlink r:id="rId15" w:anchor="cite_note-Eun_&amp;_Resnick_2011-5" w:history="1">
        <w:r w:rsidRPr="00F77B7F">
          <w:rPr>
            <w:rStyle w:val="Hyperlink"/>
            <w:rFonts w:ascii="Arial" w:hAnsi="Arial" w:cs="Arial"/>
            <w:color w:val="0B0080"/>
            <w:sz w:val="17"/>
            <w:szCs w:val="17"/>
            <w:shd w:val="clear" w:color="auto" w:fill="FFFFFF"/>
            <w:vertAlign w:val="superscript"/>
            <w:lang w:val="en-GB"/>
          </w:rPr>
          <w:t>[5]</w:t>
        </w:r>
      </w:hyperlink>
      <w:r w:rsidRPr="00F77B7F">
        <w:rPr>
          <w:rFonts w:ascii="Arial" w:hAnsi="Arial" w:cs="Arial"/>
          <w:color w:val="222222"/>
          <w:sz w:val="21"/>
          <w:szCs w:val="21"/>
          <w:shd w:val="clear" w:color="auto" w:fill="FFFFFF"/>
          <w:lang w:val="en-GB"/>
        </w:rPr>
        <w:t> A profitable trade is only possible if there exist market imperfections. Profitable triangular arbitrage is very rarely possible because when such opportunities arise, traders execute trades that take advantage of the imperfections and prices adjust up or down until the opportunity disappears.</w:t>
      </w:r>
      <w:hyperlink r:id="rId16" w:anchor="cite_note-Ozyasar_2013-6" w:history="1">
        <w:r>
          <w:rPr>
            <w:rStyle w:val="Hyperlink"/>
            <w:rFonts w:ascii="Arial" w:hAnsi="Arial" w:cs="Arial"/>
            <w:color w:val="0B0080"/>
            <w:sz w:val="17"/>
            <w:szCs w:val="17"/>
            <w:shd w:val="clear" w:color="auto" w:fill="FFFFFF"/>
            <w:vertAlign w:val="superscript"/>
          </w:rPr>
          <w:t>[6]</w:t>
        </w:r>
      </w:hyperlink>
      <w:bookmarkStart w:id="0" w:name="_GoBack"/>
      <w:bookmarkEnd w:id="0"/>
    </w:p>
    <w:p w14:paraId="62A9FCE5" w14:textId="2E57D5E7" w:rsidR="005B0653" w:rsidRDefault="005B0653" w:rsidP="00901925">
      <w:pPr>
        <w:rPr>
          <w:rFonts w:ascii="Arial" w:hAnsi="Arial" w:cs="Arial"/>
          <w:lang w:val="en-GB"/>
        </w:rPr>
      </w:pPr>
    </w:p>
    <w:p w14:paraId="7AB5CA4B" w14:textId="2B1E951C" w:rsidR="005B0653" w:rsidRDefault="005B0653" w:rsidP="00901925">
      <w:pPr>
        <w:rPr>
          <w:rFonts w:ascii="Arial" w:hAnsi="Arial" w:cs="Arial"/>
          <w:lang w:val="en-GB"/>
        </w:rPr>
      </w:pPr>
    </w:p>
    <w:p w14:paraId="4F4B225F" w14:textId="77777777" w:rsidR="005B0653" w:rsidRPr="002A77D6" w:rsidRDefault="005B0653" w:rsidP="00901925">
      <w:pPr>
        <w:rPr>
          <w:rFonts w:ascii="Arial" w:hAnsi="Arial" w:cs="Arial"/>
          <w:lang w:val="en-GB"/>
        </w:rPr>
      </w:pPr>
    </w:p>
    <w:p w14:paraId="59D0B8DF" w14:textId="5CCEA0E1" w:rsidR="00901925" w:rsidRPr="00BD7886" w:rsidRDefault="00901925" w:rsidP="00901925">
      <w:pPr>
        <w:rPr>
          <w:rFonts w:ascii="Arial" w:hAnsi="Arial" w:cs="Arial"/>
          <w:u w:val="single"/>
          <w:lang w:val="de-CH"/>
        </w:rPr>
      </w:pPr>
      <w:r w:rsidRPr="00BD7886">
        <w:rPr>
          <w:rFonts w:ascii="Arial" w:hAnsi="Arial" w:cs="Arial"/>
          <w:u w:val="single"/>
          <w:lang w:val="de-CH"/>
        </w:rPr>
        <w:t xml:space="preserve">Algorithmus </w:t>
      </w:r>
      <w:r w:rsidR="00A871A5" w:rsidRPr="00BD7886">
        <w:rPr>
          <w:rFonts w:ascii="Arial" w:hAnsi="Arial" w:cs="Arial"/>
          <w:u w:val="single"/>
          <w:lang w:val="de-CH"/>
        </w:rPr>
        <w:t>3 – Bonus – in development</w:t>
      </w:r>
    </w:p>
    <w:p w14:paraId="37512D39" w14:textId="77777777" w:rsidR="00901925" w:rsidRPr="00BD7886" w:rsidRDefault="00901925" w:rsidP="00901925">
      <w:pPr>
        <w:rPr>
          <w:rFonts w:ascii="Arial" w:hAnsi="Arial" w:cs="Arial"/>
          <w:u w:val="single"/>
          <w:lang w:val="de-CH"/>
        </w:rPr>
      </w:pPr>
    </w:p>
    <w:p w14:paraId="4040BC93" w14:textId="77777777" w:rsidR="00901925" w:rsidRDefault="00901925" w:rsidP="00901925">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985763E" w14:textId="10161193" w:rsidR="00901925" w:rsidRDefault="00901925" w:rsidP="002A77D6">
      <w:pPr>
        <w:rPr>
          <w:rFonts w:ascii="Arial" w:hAnsi="Arial" w:cs="Arial"/>
        </w:rPr>
      </w:pPr>
    </w:p>
    <w:p w14:paraId="39AD015B" w14:textId="77777777" w:rsidR="00901925" w:rsidRDefault="00901925" w:rsidP="002A77D6">
      <w:pPr>
        <w:rPr>
          <w:rFonts w:ascii="Arial" w:hAnsi="Arial" w:cs="Arial"/>
        </w:rPr>
      </w:pPr>
    </w:p>
    <w:p w14:paraId="3B4ECFE8" w14:textId="77777777" w:rsidR="00DE4C78" w:rsidRDefault="00DE4C78" w:rsidP="002A77D6">
      <w:pPr>
        <w:rPr>
          <w:rFonts w:ascii="Arial" w:hAnsi="Arial" w:cs="Arial"/>
        </w:rPr>
      </w:pPr>
    </w:p>
    <w:p w14:paraId="0565238E" w14:textId="10930E10" w:rsidR="00DE4C78" w:rsidRPr="00EA5BF5" w:rsidRDefault="00DE4C78" w:rsidP="002A77D6">
      <w:pPr>
        <w:rPr>
          <w:rFonts w:ascii="Arial" w:hAnsi="Arial" w:cs="Arial"/>
          <w:highlight w:val="green"/>
        </w:rPr>
      </w:pPr>
      <w:r w:rsidRPr="00EA5BF5">
        <w:rPr>
          <w:rFonts w:ascii="Arial" w:hAnsi="Arial" w:cs="Arial"/>
          <w:highlight w:val="green"/>
        </w:rPr>
        <w:t>A</w:t>
      </w:r>
      <w:r w:rsidR="00EA5BF5" w:rsidRPr="00EA5BF5">
        <w:rPr>
          <w:rFonts w:ascii="Arial" w:hAnsi="Arial" w:cs="Arial"/>
          <w:highlight w:val="green"/>
        </w:rPr>
        <w:t>b</w:t>
      </w:r>
      <w:r w:rsidRPr="00EA5BF5">
        <w:rPr>
          <w:rFonts w:ascii="Arial" w:hAnsi="Arial" w:cs="Arial"/>
          <w:highlight w:val="green"/>
        </w:rPr>
        <w:t xml:space="preserve">strakte </w:t>
      </w:r>
      <w:r w:rsidR="00837262" w:rsidRPr="00EA5BF5">
        <w:rPr>
          <w:rFonts w:ascii="Arial" w:hAnsi="Arial" w:cs="Arial"/>
          <w:highlight w:val="green"/>
        </w:rPr>
        <w:t>Klasse, Superklasse, Vater</w:t>
      </w:r>
    </w:p>
    <w:p w14:paraId="6F1614D6" w14:textId="2137C187" w:rsidR="00837262" w:rsidRPr="00BD7886" w:rsidRDefault="00837262" w:rsidP="002A77D6">
      <w:pPr>
        <w:rPr>
          <w:rFonts w:ascii="Arial" w:hAnsi="Arial" w:cs="Arial"/>
          <w:lang w:val="en-GB"/>
        </w:rPr>
      </w:pPr>
      <w:r w:rsidRPr="00EA5BF5">
        <w:rPr>
          <w:rFonts w:ascii="Arial" w:hAnsi="Arial" w:cs="Arial"/>
          <w:highlight w:val="green"/>
          <w:lang w:val="en-GB"/>
        </w:rPr>
        <w:t>Konkrete Klasse, erbt</w:t>
      </w:r>
    </w:p>
    <w:p w14:paraId="08759091" w14:textId="77777777" w:rsidR="00837262" w:rsidRPr="00BD7886" w:rsidRDefault="00837262" w:rsidP="002A77D6">
      <w:pPr>
        <w:rPr>
          <w:rFonts w:ascii="Arial" w:hAnsi="Arial" w:cs="Arial"/>
          <w:lang w:val="en-GB"/>
        </w:rPr>
      </w:pPr>
    </w:p>
    <w:p w14:paraId="73080A04" w14:textId="77777777" w:rsidR="00837262" w:rsidRPr="00BD7886" w:rsidRDefault="00837262" w:rsidP="002A77D6">
      <w:pPr>
        <w:rPr>
          <w:rFonts w:ascii="Arial" w:hAnsi="Arial" w:cs="Arial"/>
          <w:lang w:val="en-GB"/>
        </w:rPr>
      </w:pPr>
    </w:p>
    <w:p w14:paraId="7C5AEF13" w14:textId="42D3CCA5" w:rsidR="00305917" w:rsidRPr="00BD7886" w:rsidRDefault="00305917">
      <w:pPr>
        <w:rPr>
          <w:rFonts w:ascii="Arial" w:hAnsi="Arial" w:cs="Arial"/>
          <w:lang w:val="en-GB"/>
        </w:rPr>
      </w:pPr>
      <w:r w:rsidRPr="00BD7886">
        <w:rPr>
          <w:rFonts w:ascii="Arial" w:hAnsi="Arial" w:cs="Arial"/>
          <w:lang w:val="en-GB"/>
        </w:rPr>
        <w:br w:type="page"/>
      </w:r>
    </w:p>
    <w:p w14:paraId="3FA9BE33" w14:textId="77777777" w:rsidR="005A4A09" w:rsidRPr="00BD7886" w:rsidRDefault="005A4A09" w:rsidP="00305917">
      <w:pPr>
        <w:ind w:left="2835" w:hanging="2835"/>
        <w:rPr>
          <w:rFonts w:ascii="Arial" w:hAnsi="Arial" w:cs="Arial"/>
          <w:lang w:val="en-GB"/>
        </w:rPr>
      </w:pPr>
    </w:p>
    <w:p w14:paraId="7E3E4278" w14:textId="403A7409" w:rsidR="005A4A09" w:rsidRPr="00BD7886" w:rsidRDefault="005A4A09" w:rsidP="00305917">
      <w:pPr>
        <w:ind w:left="2835" w:hanging="2835"/>
        <w:rPr>
          <w:rFonts w:ascii="Arial" w:hAnsi="Arial" w:cs="Arial"/>
          <w:lang w:val="en-GB"/>
        </w:rPr>
      </w:pPr>
    </w:p>
    <w:p w14:paraId="1D8261C0" w14:textId="2DECCC7B" w:rsidR="005B0653" w:rsidRPr="00BD7886" w:rsidRDefault="005B0653" w:rsidP="00305917">
      <w:pPr>
        <w:ind w:left="2835" w:hanging="2835"/>
        <w:rPr>
          <w:rFonts w:ascii="Arial" w:hAnsi="Arial" w:cs="Arial"/>
          <w:lang w:val="en-GB"/>
        </w:rPr>
      </w:pPr>
    </w:p>
    <w:p w14:paraId="706D5A54" w14:textId="2E2F4BF1" w:rsidR="005B0653" w:rsidRPr="00BD7886" w:rsidRDefault="005B0653" w:rsidP="00305917">
      <w:pPr>
        <w:ind w:left="2835" w:hanging="2835"/>
        <w:rPr>
          <w:rFonts w:ascii="Arial" w:hAnsi="Arial" w:cs="Arial"/>
          <w:lang w:val="en-GB"/>
        </w:rPr>
      </w:pPr>
    </w:p>
    <w:p w14:paraId="6781271A" w14:textId="60C60661" w:rsidR="005B0653" w:rsidRPr="00BD7886" w:rsidRDefault="005B0653" w:rsidP="00305917">
      <w:pPr>
        <w:ind w:left="2835" w:hanging="2835"/>
        <w:rPr>
          <w:rFonts w:ascii="Arial" w:hAnsi="Arial" w:cs="Arial"/>
          <w:lang w:val="en-GB"/>
        </w:rPr>
      </w:pPr>
    </w:p>
    <w:p w14:paraId="27EFB3B2" w14:textId="77777777" w:rsidR="005B0653" w:rsidRPr="00BD7886" w:rsidRDefault="005B0653" w:rsidP="00305917">
      <w:pPr>
        <w:ind w:left="2835" w:hanging="2835"/>
        <w:rPr>
          <w:rFonts w:ascii="Arial" w:hAnsi="Arial" w:cs="Arial"/>
          <w:lang w:val="en-GB"/>
        </w:rPr>
      </w:pPr>
    </w:p>
    <w:p w14:paraId="37FDBB8F" w14:textId="28D2F62A" w:rsidR="005B0653" w:rsidRPr="005B0653" w:rsidRDefault="005B0653" w:rsidP="00305917">
      <w:pPr>
        <w:ind w:left="2835" w:hanging="2835"/>
        <w:rPr>
          <w:rFonts w:ascii="Arial" w:hAnsi="Arial" w:cs="Arial"/>
          <w:color w:val="FF0000"/>
          <w:sz w:val="36"/>
          <w:lang w:val="en-GB"/>
        </w:rPr>
      </w:pPr>
      <w:r w:rsidRPr="005B0653">
        <w:rPr>
          <w:rFonts w:ascii="Arial" w:hAnsi="Arial" w:cs="Arial"/>
          <w:color w:val="FF0000"/>
          <w:sz w:val="36"/>
          <w:lang w:val="en-GB"/>
        </w:rPr>
        <w:t>I think this text is not the newest version:</w:t>
      </w:r>
    </w:p>
    <w:p w14:paraId="5BDCF024" w14:textId="77777777" w:rsidR="005B0653" w:rsidRPr="005B0653" w:rsidRDefault="005B0653" w:rsidP="00305917">
      <w:pPr>
        <w:ind w:left="2835" w:hanging="2835"/>
        <w:rPr>
          <w:rFonts w:ascii="Arial" w:hAnsi="Arial" w:cs="Arial"/>
          <w:lang w:val="en-GB"/>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is a reflection of the supply and demand for a particular asset. The bids represent the demand, and the asks represent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17"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18"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19"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08C1A6D" w14:textId="69DE89AF" w:rsidR="005B0653" w:rsidRDefault="005B0653" w:rsidP="005A4A09">
      <w:pPr>
        <w:pStyle w:val="StandardWeb"/>
        <w:shd w:val="clear" w:color="auto" w:fill="FFFFFF"/>
        <w:spacing w:before="0" w:beforeAutospacing="0"/>
        <w:rPr>
          <w:rFonts w:ascii="Arial" w:hAnsi="Arial" w:cs="Arial"/>
          <w:lang w:val="en-GB"/>
        </w:rPr>
      </w:pPr>
    </w:p>
    <w:p w14:paraId="1954E05C" w14:textId="682FDE78" w:rsidR="005B0653" w:rsidRDefault="005B0653" w:rsidP="005A4A09">
      <w:pPr>
        <w:pStyle w:val="StandardWeb"/>
        <w:shd w:val="clear" w:color="auto" w:fill="FFFFFF"/>
        <w:spacing w:before="0" w:beforeAutospacing="0"/>
        <w:rPr>
          <w:rFonts w:ascii="Arial" w:hAnsi="Arial" w:cs="Arial"/>
          <w:lang w:val="en-GB"/>
        </w:rPr>
      </w:pPr>
    </w:p>
    <w:p w14:paraId="52DF7B2A" w14:textId="77777777" w:rsidR="005B0653" w:rsidRPr="0061768F" w:rsidRDefault="005B0653" w:rsidP="005B0653">
      <w:pPr>
        <w:ind w:left="2835" w:hanging="2835"/>
        <w:rPr>
          <w:rFonts w:ascii="Arial" w:hAnsi="Arial" w:cs="Arial"/>
          <w:b/>
        </w:rPr>
      </w:pPr>
      <w:r w:rsidRPr="0061768F">
        <w:rPr>
          <w:rFonts w:ascii="Arial" w:hAnsi="Arial" w:cs="Arial"/>
          <w:b/>
        </w:rPr>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r>
        <w:rPr>
          <w:rFonts w:ascii="Arial" w:hAnsi="Arial" w:cs="Arial"/>
        </w:rPr>
        <w:t>Blockchain Transaktion</w:t>
      </w:r>
      <w:r>
        <w:rPr>
          <w:rFonts w:ascii="Arial" w:hAnsi="Arial" w:cs="Arial"/>
        </w:rPr>
        <w:tab/>
        <w:t>Jede Transaktion wird in einem Block auf der Blockchain gespeichert und kann optional eine Nachricht enthalten.</w:t>
      </w:r>
      <w:r>
        <w:rPr>
          <w:rFonts w:ascii="Arial" w:hAnsi="Arial" w:cs="Arial"/>
        </w:rPr>
        <w:br/>
      </w:r>
      <w:r>
        <w:rPr>
          <w:rFonts w:ascii="Arial" w:hAnsi="Arial" w:cs="Arial"/>
        </w:rPr>
        <w:br/>
        <w:t>Bei einer Transaktion wird eine Nachricht hinzugefügt, damit der Admin weiss, wohin er die Email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Wenn der Kunde über ein Blockchain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1AE7293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312412D2"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w:t>
      </w:r>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Blockchain is the technology behind Bitcoins. It’s what makes it work. Bitcoi</w:t>
      </w:r>
      <w:r w:rsidR="002A51B5">
        <w:rPr>
          <w:rFonts w:ascii="Helvetica Neue" w:eastAsia="Times New Roman" w:hAnsi="Helvetica Neue"/>
          <w:color w:val="333333"/>
          <w:sz w:val="21"/>
          <w:szCs w:val="21"/>
          <w:lang w:val="en-US"/>
        </w:rPr>
        <w:t>n transactions are sent to the B</w:t>
      </w:r>
      <w:r w:rsidRPr="004143BD">
        <w:rPr>
          <w:rFonts w:ascii="Helvetica Neue" w:eastAsia="Times New Roman" w:hAnsi="Helvetica Neue"/>
          <w:color w:val="333333"/>
          <w:sz w:val="21"/>
          <w:szCs w:val="21"/>
          <w:lang w:val="en-US"/>
        </w:rPr>
        <w:t xml:space="preserve">lockchain so that miners can put them into the blocks that they mine. Once a block containing your transaction is </w:t>
      </w:r>
      <w:r w:rsidR="002A51B5">
        <w:rPr>
          <w:rFonts w:ascii="Helvetica Neue" w:eastAsia="Times New Roman" w:hAnsi="Helvetica Neue"/>
          <w:color w:val="333333"/>
          <w:sz w:val="21"/>
          <w:szCs w:val="21"/>
          <w:lang w:val="en-US"/>
        </w:rPr>
        <w:t>mined it has been added to the B</w:t>
      </w:r>
      <w:r w:rsidRPr="004143BD">
        <w:rPr>
          <w:rFonts w:ascii="Helvetica Neue" w:eastAsia="Times New Roman" w:hAnsi="Helvetica Neue"/>
          <w:color w:val="333333"/>
          <w:sz w:val="21"/>
          <w:szCs w:val="21"/>
          <w:lang w:val="en-US"/>
        </w:rPr>
        <w:t>lockchain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Not to be confused with the B</w:t>
      </w:r>
      <w:r w:rsidR="004143BD" w:rsidRPr="004143BD">
        <w:rPr>
          <w:rFonts w:ascii="Helvetica Neue" w:eastAsia="Times New Roman" w:hAnsi="Helvetica Neue"/>
          <w:color w:val="333333"/>
          <w:sz w:val="21"/>
          <w:szCs w:val="21"/>
          <w:lang w:val="en-US"/>
        </w:rPr>
        <w:t>lockchain, blockchain.info is one o</w:t>
      </w:r>
      <w:r>
        <w:rPr>
          <w:rFonts w:ascii="Helvetica Neue" w:eastAsia="Times New Roman" w:hAnsi="Helvetica Neue"/>
          <w:color w:val="333333"/>
          <w:sz w:val="21"/>
          <w:szCs w:val="21"/>
          <w:lang w:val="en-US"/>
        </w:rPr>
        <w:t>f many websites that work as B</w:t>
      </w:r>
      <w:r w:rsidR="004143BD" w:rsidRPr="004143BD">
        <w:rPr>
          <w:rFonts w:ascii="Helvetica Neue" w:eastAsia="Times New Roman" w:hAnsi="Helvetica Neue"/>
          <w:color w:val="333333"/>
          <w:sz w:val="21"/>
          <w:szCs w:val="21"/>
          <w:lang w:val="en-US"/>
        </w:rPr>
        <w:t>lockchain explorers. These we</w:t>
      </w:r>
      <w:r>
        <w:rPr>
          <w:rFonts w:ascii="Helvetica Neue" w:eastAsia="Times New Roman" w:hAnsi="Helvetica Neue"/>
          <w:color w:val="333333"/>
          <w:sz w:val="21"/>
          <w:szCs w:val="21"/>
          <w:lang w:val="en-US"/>
        </w:rPr>
        <w:t>bsites allow you to ‘see’ the B</w:t>
      </w:r>
      <w:r w:rsidR="004143BD" w:rsidRPr="004143BD">
        <w:rPr>
          <w:rFonts w:ascii="Helvetica Neue" w:eastAsia="Times New Roman" w:hAnsi="Helvetica Neue"/>
          <w:color w:val="333333"/>
          <w:sz w:val="21"/>
          <w:szCs w:val="21"/>
          <w:lang w:val="en-US"/>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oin block is one “link” in the B</w:t>
      </w:r>
      <w:r w:rsidRPr="004143BD">
        <w:rPr>
          <w:rFonts w:ascii="Helvetica Neue" w:eastAsia="Times New Roman" w:hAnsi="Helvetica Neue"/>
          <w:color w:val="333333"/>
          <w:sz w:val="21"/>
          <w:szCs w:val="21"/>
          <w:lang w:val="en-US"/>
        </w:rPr>
        <w:t>lockchain. One block contains a group of Bitcoin transactions that have been confirmed. When Bitcoin miners ‘mine’ these blocks they calculate through computer al</w:t>
      </w:r>
      <w:r w:rsidR="002A51B5">
        <w:rPr>
          <w:rFonts w:ascii="Helvetica Neue" w:eastAsia="Times New Roman" w:hAnsi="Helvetica Neue"/>
          <w:color w:val="333333"/>
          <w:sz w:val="21"/>
          <w:szCs w:val="21"/>
          <w:lang w:val="en-US"/>
        </w:rPr>
        <w:t>gorithms which when put in the B</w:t>
      </w:r>
      <w:r w:rsidRPr="004143BD">
        <w:rPr>
          <w:rFonts w:ascii="Helvetica Neue" w:eastAsia="Times New Roman" w:hAnsi="Helvetica Neue"/>
          <w:color w:val="333333"/>
          <w:sz w:val="21"/>
          <w:szCs w:val="21"/>
          <w:lang w:val="en-US"/>
        </w:rPr>
        <w:t>lockchain,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BTC is the acronym for Bitcoin. Coin, coins et. al. are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Circle/Coinbase</w:t>
      </w:r>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LocalBitcoins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LocalBitcoins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LBC is where you are, it’s the acronym for LocalBitcoins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ansactions and add them to the B</w:t>
      </w:r>
      <w:r w:rsidRPr="004143BD">
        <w:rPr>
          <w:rFonts w:ascii="Helvetica Neue" w:eastAsia="Times New Roman" w:hAnsi="Helvetica Neue"/>
          <w:color w:val="333333"/>
          <w:sz w:val="21"/>
          <w:szCs w:val="21"/>
          <w:lang w:val="en-US"/>
        </w:rPr>
        <w:t xml:space="preserve">lockchain.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Multisig</w:t>
      </w:r>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Multisignature, often heard in combination with wallet. A multisignature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 Nakamoto</w:t>
      </w:r>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Since the Bitcoin miners work to confirm your transactions, they won’t do this for free. Rather you pay a tiny amount of Bitcoin to them to help them continue to confirm. Therefore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txid</w:t>
      </w:r>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w as you can paste this into a B</w:t>
      </w:r>
      <w:r w:rsidRPr="004143BD">
        <w:rPr>
          <w:rFonts w:ascii="Helvetica Neue" w:eastAsia="Times New Roman" w:hAnsi="Helvetica Neue"/>
          <w:color w:val="333333"/>
          <w:sz w:val="21"/>
          <w:szCs w:val="21"/>
          <w:lang w:val="en-US"/>
        </w:rPr>
        <w:t>lockchain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Wallet</w:t>
      </w:r>
    </w:p>
    <w:p w14:paraId="64679E4C" w14:textId="5B470F8E"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place where you store your Bitcoins. This can be quite confusing to new users, but a wallet is essentially just a Bitcoin address. A Bitcoin wallet can exist on a service such as LocalBitcoins, in an app on your phone or computer, or even on a piece of paper! As it’s just a series of numbers and letters it does not matter where it’s stored. It’s completely OK to use your LocalBitcoins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4143BD"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2AD50" w14:textId="77777777" w:rsidR="007D2BEE" w:rsidRDefault="007D2BEE" w:rsidP="007D4E5F">
      <w:r>
        <w:separator/>
      </w:r>
    </w:p>
  </w:endnote>
  <w:endnote w:type="continuationSeparator" w:id="0">
    <w:p w14:paraId="17CC8986" w14:textId="77777777" w:rsidR="007D2BEE" w:rsidRDefault="007D2BEE"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63417" w14:textId="77777777" w:rsidR="007D2BEE" w:rsidRDefault="007D2BEE" w:rsidP="007D4E5F">
      <w:r>
        <w:separator/>
      </w:r>
    </w:p>
  </w:footnote>
  <w:footnote w:type="continuationSeparator" w:id="0">
    <w:p w14:paraId="008070ED" w14:textId="77777777" w:rsidR="007D2BEE" w:rsidRDefault="007D2BEE" w:rsidP="007D4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5F"/>
    <w:rsid w:val="00007E4F"/>
    <w:rsid w:val="0005055D"/>
    <w:rsid w:val="000B5F8C"/>
    <w:rsid w:val="001F630F"/>
    <w:rsid w:val="002A51B5"/>
    <w:rsid w:val="002A77D6"/>
    <w:rsid w:val="00305917"/>
    <w:rsid w:val="004143BD"/>
    <w:rsid w:val="0045011F"/>
    <w:rsid w:val="00450A62"/>
    <w:rsid w:val="00505D6B"/>
    <w:rsid w:val="00531932"/>
    <w:rsid w:val="005A4A09"/>
    <w:rsid w:val="005B0653"/>
    <w:rsid w:val="0061768F"/>
    <w:rsid w:val="00693141"/>
    <w:rsid w:val="006B5224"/>
    <w:rsid w:val="006D72CE"/>
    <w:rsid w:val="007C2755"/>
    <w:rsid w:val="007D2BEE"/>
    <w:rsid w:val="007D4E5F"/>
    <w:rsid w:val="00830AA0"/>
    <w:rsid w:val="008357A7"/>
    <w:rsid w:val="00837262"/>
    <w:rsid w:val="00901925"/>
    <w:rsid w:val="00906D7E"/>
    <w:rsid w:val="009E01D9"/>
    <w:rsid w:val="00A30703"/>
    <w:rsid w:val="00A714DB"/>
    <w:rsid w:val="00A871A5"/>
    <w:rsid w:val="00AB0DE9"/>
    <w:rsid w:val="00AE3E8F"/>
    <w:rsid w:val="00B15789"/>
    <w:rsid w:val="00B27C03"/>
    <w:rsid w:val="00B5696E"/>
    <w:rsid w:val="00BD7886"/>
    <w:rsid w:val="00C27DC6"/>
    <w:rsid w:val="00C90554"/>
    <w:rsid w:val="00CC1643"/>
    <w:rsid w:val="00D36CA4"/>
    <w:rsid w:val="00D55B1D"/>
    <w:rsid w:val="00DB0E86"/>
    <w:rsid w:val="00DD2ECA"/>
    <w:rsid w:val="00DE4C78"/>
    <w:rsid w:val="00DF79E6"/>
    <w:rsid w:val="00E220E2"/>
    <w:rsid w:val="00E42268"/>
    <w:rsid w:val="00EA5BF5"/>
    <w:rsid w:val="00F10E78"/>
    <w:rsid w:val="00F415BF"/>
    <w:rsid w:val="00F77B7F"/>
    <w:rsid w:val="00FA4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Hyper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ency" TargetMode="External"/><Relationship Id="rId13" Type="http://schemas.openxmlformats.org/officeDocument/2006/relationships/hyperlink" Target="https://en.wikipedia.org/wiki/Exchange_rate" TargetMode="External"/><Relationship Id="rId18" Type="http://schemas.openxmlformats.org/officeDocument/2006/relationships/hyperlink" Target="http://www.investopedia.com/terms/l/liquidity.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rbitrage" TargetMode="External"/><Relationship Id="rId12" Type="http://schemas.openxmlformats.org/officeDocument/2006/relationships/hyperlink" Target="https://en.wikipedia.org/wiki/Triangular_arbitrage" TargetMode="External"/><Relationship Id="rId17" Type="http://schemas.openxmlformats.org/officeDocument/2006/relationships/hyperlink" Target="http://www.investopedia.com/video/play/spread/" TargetMode="External"/><Relationship Id="rId2" Type="http://schemas.openxmlformats.org/officeDocument/2006/relationships/styles" Target="styles.xml"/><Relationship Id="rId16" Type="http://schemas.openxmlformats.org/officeDocument/2006/relationships/hyperlink" Target="https://en.wikipedia.org/wiki/Triangular_arbitr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iangular_arbitrage" TargetMode="External"/><Relationship Id="rId5" Type="http://schemas.openxmlformats.org/officeDocument/2006/relationships/footnotes" Target="footnotes.xml"/><Relationship Id="rId15" Type="http://schemas.openxmlformats.org/officeDocument/2006/relationships/hyperlink" Target="https://en.wikipedia.org/wiki/Triangular_arbitrage" TargetMode="External"/><Relationship Id="rId10" Type="http://schemas.openxmlformats.org/officeDocument/2006/relationships/hyperlink" Target="https://en.wikipedia.org/wiki/Triangular_arbitrage" TargetMode="External"/><Relationship Id="rId19" Type="http://schemas.openxmlformats.org/officeDocument/2006/relationships/hyperlink" Target="http://www.investopedia.com/terms/l/liquidasset.asp" TargetMode="External"/><Relationship Id="rId4" Type="http://schemas.openxmlformats.org/officeDocument/2006/relationships/webSettings" Target="webSettings.xml"/><Relationship Id="rId9" Type="http://schemas.openxmlformats.org/officeDocument/2006/relationships/hyperlink" Target="https://en.wikipedia.org/wiki/Foreign_exchange_market" TargetMode="External"/><Relationship Id="rId14" Type="http://schemas.openxmlformats.org/officeDocument/2006/relationships/hyperlink" Target="https://en.wikipedia.org/wiki/Triangular_arbitrag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1607</Words>
  <Characters>10131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21</cp:revision>
  <dcterms:created xsi:type="dcterms:W3CDTF">2017-11-07T10:27:00Z</dcterms:created>
  <dcterms:modified xsi:type="dcterms:W3CDTF">2017-12-21T02:18:00Z</dcterms:modified>
</cp:coreProperties>
</file>