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0D0F4" w14:textId="645258BC" w:rsidR="00B9418E" w:rsidRPr="00AB384D" w:rsidRDefault="00B9418E" w:rsidP="00B9418E">
      <w:pPr>
        <w:spacing w:after="0" w:line="259" w:lineRule="auto"/>
        <w:ind w:right="232"/>
        <w:jc w:val="center"/>
        <w:rPr>
          <w:rFonts w:ascii="Times New Roman" w:hAnsi="Times New Roman" w:cs="Times New Roman"/>
        </w:rPr>
      </w:pPr>
      <w:r w:rsidRPr="00AB384D">
        <w:rPr>
          <w:rFonts w:ascii="Times New Roman" w:eastAsia="Times New Roman" w:hAnsi="Times New Roman" w:cs="Times New Roman"/>
          <w:b/>
          <w:sz w:val="20"/>
        </w:rPr>
        <w:t>Федеральное государственное бюджетное образовательное учреждение высшего образования</w:t>
      </w:r>
      <w:r>
        <w:rPr>
          <w:rFonts w:ascii="Times New Roman" w:hAnsi="Times New Roman" w:cs="Times New Roman"/>
        </w:rPr>
        <w:t xml:space="preserve"> </w:t>
      </w:r>
      <w:r w:rsidRPr="00AB384D">
        <w:rPr>
          <w:rFonts w:ascii="Times New Roman" w:eastAsia="Times New Roman" w:hAnsi="Times New Roman" w:cs="Times New Roman"/>
          <w:b/>
          <w:sz w:val="20"/>
        </w:rPr>
        <w:t>«РОССИЙСКАЯ АКАДЕМИЯ НАРОДНОГО ХОЗЯЙСТВА И ГОСУДАРСТВЕННОЙ СЛУЖБЫ</w:t>
      </w:r>
    </w:p>
    <w:p w14:paraId="77ECF8D4" w14:textId="4B330B67" w:rsidR="00B9418E" w:rsidRPr="00AB384D" w:rsidRDefault="00B9418E" w:rsidP="00B9418E">
      <w:pPr>
        <w:spacing w:after="0" w:line="259" w:lineRule="auto"/>
        <w:jc w:val="center"/>
        <w:rPr>
          <w:rFonts w:ascii="Times New Roman" w:hAnsi="Times New Roman" w:cs="Times New Roman"/>
        </w:rPr>
      </w:pPr>
      <w:r w:rsidRPr="00AB384D">
        <w:rPr>
          <w:rFonts w:ascii="Times New Roman" w:eastAsia="Times New Roman" w:hAnsi="Times New Roman" w:cs="Times New Roman"/>
          <w:b/>
          <w:sz w:val="20"/>
        </w:rPr>
        <w:t>ПРИ ПРЕЗИДЕНТЕ РОССИЙСКОЙ ФЕДЕРАЦИИ»</w:t>
      </w:r>
    </w:p>
    <w:p w14:paraId="5912D533" w14:textId="00495CCB" w:rsidR="00B9418E" w:rsidRPr="00AB384D" w:rsidRDefault="00B9418E" w:rsidP="00B9418E">
      <w:pPr>
        <w:spacing w:after="0" w:line="259" w:lineRule="auto"/>
        <w:jc w:val="center"/>
        <w:rPr>
          <w:rFonts w:ascii="Times New Roman" w:hAnsi="Times New Roman" w:cs="Times New Roman"/>
        </w:rPr>
      </w:pPr>
      <w:r w:rsidRPr="00AB384D">
        <w:rPr>
          <w:rFonts w:ascii="Times New Roman" w:eastAsia="Calibri" w:hAnsi="Times New Roman" w:cs="Times New Roman"/>
          <w:noProof/>
          <w:sz w:val="22"/>
          <w:lang w:val="en-US"/>
        </w:rPr>
        <mc:AlternateContent>
          <mc:Choice Requires="wpg">
            <w:drawing>
              <wp:inline distT="0" distB="0" distL="0" distR="0" wp14:anchorId="2893533B" wp14:editId="36ECCD55">
                <wp:extent cx="5979922" cy="56388"/>
                <wp:effectExtent l="0" t="0" r="0" b="0"/>
                <wp:docPr id="19425" name="Group 19425"/>
                <wp:cNvGraphicFramePr/>
                <a:graphic xmlns:a="http://schemas.openxmlformats.org/drawingml/2006/main">
                  <a:graphicData uri="http://schemas.microsoft.com/office/word/2010/wordprocessingGroup">
                    <wpg:wgp>
                      <wpg:cNvGrpSpPr/>
                      <wpg:grpSpPr>
                        <a:xfrm>
                          <a:off x="0" y="0"/>
                          <a:ext cx="5979922" cy="56388"/>
                          <a:chOff x="0" y="0"/>
                          <a:chExt cx="5979922" cy="56388"/>
                        </a:xfrm>
                      </wpg:grpSpPr>
                      <wps:wsp>
                        <wps:cNvPr id="21579" name="Shape 21579"/>
                        <wps:cNvSpPr/>
                        <wps:spPr>
                          <a:xfrm>
                            <a:off x="0" y="47244"/>
                            <a:ext cx="5979922" cy="9144"/>
                          </a:xfrm>
                          <a:custGeom>
                            <a:avLst/>
                            <a:gdLst/>
                            <a:ahLst/>
                            <a:cxnLst/>
                            <a:rect l="0" t="0" r="0" b="0"/>
                            <a:pathLst>
                              <a:path w="5979922" h="9144">
                                <a:moveTo>
                                  <a:pt x="0" y="0"/>
                                </a:moveTo>
                                <a:lnTo>
                                  <a:pt x="5979922" y="0"/>
                                </a:lnTo>
                                <a:lnTo>
                                  <a:pt x="59799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80" name="Shape 21580"/>
                        <wps:cNvSpPr/>
                        <wps:spPr>
                          <a:xfrm>
                            <a:off x="0" y="0"/>
                            <a:ext cx="5979922" cy="38100"/>
                          </a:xfrm>
                          <a:custGeom>
                            <a:avLst/>
                            <a:gdLst/>
                            <a:ahLst/>
                            <a:cxnLst/>
                            <a:rect l="0" t="0" r="0" b="0"/>
                            <a:pathLst>
                              <a:path w="5979922" h="38100">
                                <a:moveTo>
                                  <a:pt x="0" y="0"/>
                                </a:moveTo>
                                <a:lnTo>
                                  <a:pt x="5979922" y="0"/>
                                </a:lnTo>
                                <a:lnTo>
                                  <a:pt x="597992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34601E" id="Group 19425" o:spid="_x0000_s1026" style="width:470.85pt;height:4.45pt;mso-position-horizontal-relative:char;mso-position-vertical-relative:line" coordsize="5979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">
                <v:shape id="Shape 21579" o:spid="_x0000_s1027" style="position:absolute;top:472;width:59799;height:91;visibility:visible;mso-wrap-style:square;v-text-anchor:top" coordsize="59799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" path="m,l5979922,r,9144l,9144,,e" fillcolor="black" stroked="f" strokeweight="0">
                  <v:stroke miterlimit="83231f" joinstyle="miter"/>
                  <v:path arrowok="t" textboxrect="0,0,5979922,9144"/>
                </v:shape>
                <v:shape id="Shape 21580" o:spid="_x0000_s1028" style="position:absolute;width:59799;height:381;visibility:visible;mso-wrap-style:square;v-text-anchor:top" coordsize="597992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" path="m,l5979922,r,38100l,38100,,e" fillcolor="black" stroked="f" strokeweight="0">
                  <v:stroke miterlimit="83231f" joinstyle="miter"/>
                  <v:path arrowok="t" textboxrect="0,0,5979922,38100"/>
                </v:shape>
                <w10:anchorlock/>
              </v:group>
            </w:pict>
          </mc:Fallback>
        </mc:AlternateContent>
      </w:r>
    </w:p>
    <w:p w14:paraId="4289ECDB" w14:textId="77777777" w:rsidR="00B9418E" w:rsidRPr="00AB384D" w:rsidRDefault="00B9418E" w:rsidP="00B9418E">
      <w:pPr>
        <w:spacing w:after="0" w:line="259" w:lineRule="auto"/>
        <w:jc w:val="center"/>
        <w:rPr>
          <w:rFonts w:ascii="Times New Roman" w:hAnsi="Times New Roman" w:cs="Times New Roman"/>
          <w:b/>
          <w:sz w:val="28"/>
          <w:szCs w:val="28"/>
        </w:rPr>
      </w:pPr>
      <w:r w:rsidRPr="00AB384D">
        <w:rPr>
          <w:rFonts w:ascii="Times New Roman" w:hAnsi="Times New Roman" w:cs="Times New Roman"/>
          <w:b/>
          <w:sz w:val="28"/>
          <w:szCs w:val="28"/>
        </w:rPr>
        <w:t>Сибирский институт управления – филиал РАНХиГС</w:t>
      </w:r>
    </w:p>
    <w:p w14:paraId="4050538B" w14:textId="77777777" w:rsidR="00B9418E" w:rsidRPr="009069B0" w:rsidRDefault="00B9418E" w:rsidP="00B9418E">
      <w:pPr>
        <w:spacing w:after="0" w:line="259" w:lineRule="auto"/>
      </w:pPr>
      <w:r w:rsidRPr="009069B0">
        <w:t xml:space="preserve"> </w:t>
      </w:r>
    </w:p>
    <w:p w14:paraId="64A1C7FF" w14:textId="77777777" w:rsidR="00B9418E" w:rsidRPr="00434B31" w:rsidRDefault="00B9418E" w:rsidP="00B9418E">
      <w:pPr>
        <w:spacing w:after="0" w:line="259" w:lineRule="auto"/>
        <w:rPr>
          <w:rFonts w:ascii="Times New Roman" w:hAnsi="Times New Roman" w:cs="Times New Roman"/>
        </w:rPr>
      </w:pPr>
    </w:p>
    <w:p w14:paraId="2D826CEF" w14:textId="77777777" w:rsidR="00B9418E" w:rsidRPr="00434B31" w:rsidRDefault="00B9418E" w:rsidP="00B9418E">
      <w:pPr>
        <w:spacing w:after="0"/>
        <w:rPr>
          <w:rFonts w:ascii="Times New Roman" w:eastAsia="Times New Roman" w:hAnsi="Times New Roman" w:cs="Times New Roman"/>
          <w:color w:val="000000"/>
          <w:lang w:eastAsia="ru-RU"/>
        </w:rPr>
      </w:pPr>
      <w:r w:rsidRPr="00434B31">
        <w:rPr>
          <w:rFonts w:ascii="Times New Roman" w:hAnsi="Times New Roman" w:cs="Times New Roman"/>
        </w:rPr>
        <w:t>Направление подготовки/специальность</w:t>
      </w:r>
      <w:r w:rsidRPr="00434B31">
        <w:rPr>
          <w:rFonts w:ascii="Times New Roman" w:eastAsia="Calibri" w:hAnsi="Times New Roman" w:cs="Times New Roman"/>
        </w:rPr>
        <w:t xml:space="preserve">: </w:t>
      </w:r>
      <w:r w:rsidRPr="00434B31">
        <w:rPr>
          <w:rFonts w:ascii="Times New Roman" w:eastAsia="Times New Roman" w:hAnsi="Times New Roman" w:cs="Times New Roman"/>
          <w:color w:val="000000"/>
          <w:lang w:eastAsia="ru-RU"/>
        </w:rPr>
        <w:t>Правовое обеспечение национальной безопасности</w:t>
      </w:r>
    </w:p>
    <w:p w14:paraId="7F99EADB" w14:textId="77777777" w:rsidR="00B9418E" w:rsidRPr="00434B31" w:rsidRDefault="00B9418E" w:rsidP="00B9418E">
      <w:pPr>
        <w:spacing w:after="0"/>
        <w:rPr>
          <w:rFonts w:ascii="Times New Roman" w:hAnsi="Times New Roman" w:cs="Times New Roman"/>
        </w:rPr>
      </w:pPr>
      <w:r w:rsidRPr="00434B31">
        <w:rPr>
          <w:rFonts w:ascii="Times New Roman" w:hAnsi="Times New Roman" w:cs="Times New Roman"/>
        </w:rPr>
        <w:t xml:space="preserve">Направленность (профиль)/специализация: Гражданско-правовая  </w:t>
      </w:r>
    </w:p>
    <w:p w14:paraId="4ED3D230" w14:textId="77777777" w:rsidR="00B9418E" w:rsidRPr="0052714F" w:rsidRDefault="00B9418E" w:rsidP="00B9418E">
      <w:pPr>
        <w:spacing w:after="0" w:line="259" w:lineRule="auto"/>
        <w:rPr>
          <w:rFonts w:ascii="Times New Roman" w:hAnsi="Times New Roman" w:cs="Times New Roman"/>
        </w:rPr>
      </w:pPr>
    </w:p>
    <w:p w14:paraId="2F335461" w14:textId="77777777" w:rsidR="00B9418E" w:rsidRPr="0052714F" w:rsidRDefault="00B9418E" w:rsidP="00B9418E">
      <w:pPr>
        <w:spacing w:after="0" w:line="259" w:lineRule="auto"/>
        <w:jc w:val="center"/>
        <w:rPr>
          <w:rFonts w:ascii="Times New Roman" w:hAnsi="Times New Roman" w:cs="Times New Roman"/>
        </w:rPr>
      </w:pPr>
      <w:r w:rsidRPr="0052714F">
        <w:rPr>
          <w:rFonts w:ascii="Times New Roman" w:hAnsi="Times New Roman" w:cs="Times New Roman"/>
        </w:rPr>
        <w:t xml:space="preserve"> </w:t>
      </w:r>
    </w:p>
    <w:p w14:paraId="5F38D804" w14:textId="46231AD1" w:rsidR="00B9418E" w:rsidRDefault="00B9418E" w:rsidP="00B9418E">
      <w:pPr>
        <w:pStyle w:val="1"/>
        <w:ind w:right="437"/>
        <w:jc w:val="center"/>
        <w:rPr>
          <w:rFonts w:cs="Times New Roman"/>
        </w:rPr>
      </w:pPr>
      <w:r>
        <w:rPr>
          <w:rFonts w:cs="Times New Roman"/>
        </w:rPr>
        <w:t>КОНТРОЛЬНАЯ РАБОТА</w:t>
      </w:r>
    </w:p>
    <w:p w14:paraId="22C3F5EF" w14:textId="77777777" w:rsidR="00B9418E" w:rsidRPr="00AB384D" w:rsidRDefault="00B9418E" w:rsidP="00B9418E">
      <w:pPr>
        <w:spacing w:after="0"/>
      </w:pPr>
    </w:p>
    <w:p w14:paraId="52BE9B8E" w14:textId="77777777" w:rsidR="00B9418E" w:rsidRDefault="00B9418E" w:rsidP="00B9418E">
      <w:pPr>
        <w:spacing w:after="0" w:line="259" w:lineRule="auto"/>
        <w:ind w:hanging="10"/>
        <w:rPr>
          <w:rFonts w:ascii="Times New Roman" w:eastAsia="Calibri" w:hAnsi="Times New Roman" w:cs="Times New Roman"/>
        </w:rPr>
      </w:pPr>
      <w:r w:rsidRPr="00434B31">
        <w:rPr>
          <w:rFonts w:ascii="Times New Roman" w:eastAsia="Times New Roman" w:hAnsi="Times New Roman" w:cs="Times New Roman"/>
          <w:b/>
        </w:rPr>
        <w:t>по дисциплине (модулю)</w:t>
      </w:r>
      <w:r w:rsidRPr="00434B31">
        <w:rPr>
          <w:rFonts w:ascii="Times New Roman" w:eastAsia="Calibri" w:hAnsi="Times New Roman" w:cs="Times New Roman"/>
        </w:rPr>
        <w:t>: Международное частное право</w:t>
      </w:r>
    </w:p>
    <w:p w14:paraId="7562663B" w14:textId="77777777" w:rsidR="00B9418E" w:rsidRPr="00434B31" w:rsidRDefault="00B9418E" w:rsidP="00B9418E">
      <w:pPr>
        <w:spacing w:after="0" w:line="259" w:lineRule="auto"/>
        <w:ind w:hanging="10"/>
        <w:rPr>
          <w:rFonts w:ascii="Times New Roman" w:eastAsia="Calibri" w:hAnsi="Times New Roman" w:cs="Times New Roman"/>
        </w:rPr>
      </w:pPr>
    </w:p>
    <w:p w14:paraId="5AF8E8DB" w14:textId="44015E96" w:rsidR="00B9418E" w:rsidRPr="00B9418E" w:rsidRDefault="00B9418E" w:rsidP="00B9418E">
      <w:pPr>
        <w:spacing w:after="0" w:line="259" w:lineRule="auto"/>
        <w:ind w:hanging="10"/>
        <w:rPr>
          <w:rFonts w:ascii="Times New Roman" w:eastAsia="Calibri" w:hAnsi="Times New Roman" w:cs="Times New Roman"/>
          <w:b/>
          <w:bCs/>
        </w:rPr>
      </w:pPr>
      <w:r w:rsidRPr="00434B31">
        <w:rPr>
          <w:rFonts w:ascii="Times New Roman" w:eastAsia="Calibri" w:hAnsi="Times New Roman" w:cs="Times New Roman"/>
          <w:b/>
          <w:bCs/>
        </w:rPr>
        <w:t xml:space="preserve">по теме: </w:t>
      </w:r>
      <w:r w:rsidRPr="00B9418E">
        <w:rPr>
          <w:rFonts w:ascii="Times New Roman" w:eastAsia="Calibri" w:hAnsi="Times New Roman" w:cs="Times New Roman"/>
        </w:rPr>
        <w:t>Европейская модель регулирования трансграничной несостоятельности</w:t>
      </w:r>
    </w:p>
    <w:p w14:paraId="1A0A0A7A" w14:textId="77777777" w:rsidR="00B9418E" w:rsidRPr="00434B31" w:rsidRDefault="00B9418E" w:rsidP="00B9418E">
      <w:pPr>
        <w:spacing w:after="0" w:line="259" w:lineRule="auto"/>
        <w:rPr>
          <w:rFonts w:ascii="Times New Roman" w:hAnsi="Times New Roman" w:cs="Times New Roman"/>
        </w:rPr>
      </w:pPr>
      <w:r w:rsidRPr="00434B31">
        <w:rPr>
          <w:rFonts w:ascii="Times New Roman" w:eastAsia="Calibri" w:hAnsi="Times New Roman" w:cs="Times New Roman"/>
          <w:sz w:val="22"/>
        </w:rPr>
        <w:t xml:space="preserve"> </w:t>
      </w:r>
    </w:p>
    <w:p w14:paraId="0E40B9E6" w14:textId="77777777" w:rsidR="00B9418E" w:rsidRPr="0052714F" w:rsidRDefault="00B9418E" w:rsidP="00B9418E">
      <w:pPr>
        <w:spacing w:after="0" w:line="260" w:lineRule="auto"/>
        <w:ind w:right="-7" w:hanging="10"/>
        <w:jc w:val="center"/>
        <w:rPr>
          <w:rFonts w:ascii="Times New Roman" w:hAnsi="Times New Roman" w:cs="Times New Roman"/>
        </w:rPr>
      </w:pPr>
    </w:p>
    <w:p w14:paraId="64285C48" w14:textId="77777777" w:rsidR="00B9418E" w:rsidRDefault="00B9418E" w:rsidP="00B9418E">
      <w:pPr>
        <w:spacing w:after="0" w:line="259" w:lineRule="auto"/>
        <w:rPr>
          <w:rFonts w:ascii="Times New Roman" w:eastAsia="Times New Roman" w:hAnsi="Times New Roman" w:cs="Times New Roman"/>
          <w:b/>
        </w:rPr>
      </w:pPr>
      <w:r w:rsidRPr="0052714F">
        <w:rPr>
          <w:rFonts w:ascii="Times New Roman" w:hAnsi="Times New Roman" w:cs="Times New Roman"/>
        </w:rPr>
        <w:t xml:space="preserve"> </w:t>
      </w:r>
      <w:r w:rsidRPr="0052714F">
        <w:rPr>
          <w:rFonts w:ascii="Times New Roman" w:eastAsia="Times New Roman" w:hAnsi="Times New Roman" w:cs="Times New Roman"/>
          <w:b/>
        </w:rPr>
        <w:t xml:space="preserve"> </w:t>
      </w:r>
    </w:p>
    <w:p w14:paraId="7B692B0B" w14:textId="77777777" w:rsidR="00B9418E" w:rsidRDefault="00B9418E" w:rsidP="00B9418E">
      <w:pPr>
        <w:spacing w:after="0" w:line="259" w:lineRule="auto"/>
        <w:rPr>
          <w:rFonts w:ascii="Times New Roman" w:hAnsi="Times New Roman" w:cs="Times New Roman"/>
        </w:rPr>
      </w:pPr>
    </w:p>
    <w:p w14:paraId="0CA52CA0" w14:textId="77777777" w:rsidR="00B9418E" w:rsidRPr="0052714F" w:rsidRDefault="00B9418E" w:rsidP="00B9418E">
      <w:pPr>
        <w:spacing w:after="0" w:line="259" w:lineRule="auto"/>
        <w:rPr>
          <w:rFonts w:ascii="Times New Roman" w:hAnsi="Times New Roman" w:cs="Times New Roman"/>
        </w:rPr>
      </w:pPr>
    </w:p>
    <w:p w14:paraId="37ADB1B2" w14:textId="77777777" w:rsidR="00B9418E" w:rsidRPr="0052714F" w:rsidRDefault="00B9418E" w:rsidP="00B9418E">
      <w:pPr>
        <w:spacing w:after="0" w:line="259" w:lineRule="auto"/>
        <w:jc w:val="center"/>
        <w:rPr>
          <w:rFonts w:ascii="Times New Roman" w:hAnsi="Times New Roman" w:cs="Times New Roman"/>
        </w:rPr>
      </w:pPr>
      <w:r w:rsidRPr="0052714F">
        <w:rPr>
          <w:rFonts w:ascii="Times New Roman" w:eastAsia="Times New Roman" w:hAnsi="Times New Roman" w:cs="Times New Roman"/>
          <w:b/>
        </w:rPr>
        <w:t xml:space="preserve"> </w:t>
      </w:r>
    </w:p>
    <w:p w14:paraId="67D276F9" w14:textId="7D3B1645" w:rsidR="00B9418E" w:rsidRPr="00B9418E" w:rsidRDefault="00B9418E" w:rsidP="00B9418E">
      <w:pPr>
        <w:spacing w:after="0"/>
        <w:ind w:right="-7" w:hanging="10"/>
        <w:jc w:val="right"/>
        <w:rPr>
          <w:rFonts w:ascii="Times New Roman" w:hAnsi="Times New Roman" w:cs="Times New Roman"/>
        </w:rPr>
      </w:pPr>
      <w:r w:rsidRPr="00B9418E">
        <w:rPr>
          <w:rFonts w:ascii="Times New Roman" w:eastAsia="Times New Roman" w:hAnsi="Times New Roman" w:cs="Times New Roman"/>
          <w:b/>
        </w:rPr>
        <w:t>Выполнил</w:t>
      </w:r>
      <w:r w:rsidRPr="00B9418E">
        <w:rPr>
          <w:rFonts w:ascii="Times New Roman" w:hAnsi="Times New Roman" w:cs="Times New Roman"/>
        </w:rPr>
        <w:t xml:space="preserve">: обучающийся 21176 группы </w:t>
      </w:r>
    </w:p>
    <w:p w14:paraId="759C7005" w14:textId="77777777" w:rsidR="00B9418E" w:rsidRPr="00B9418E" w:rsidRDefault="00B9418E" w:rsidP="00B9418E">
      <w:pPr>
        <w:spacing w:after="0"/>
        <w:ind w:right="-7" w:hanging="10"/>
        <w:jc w:val="right"/>
        <w:rPr>
          <w:rFonts w:ascii="Times New Roman" w:hAnsi="Times New Roman" w:cs="Times New Roman"/>
        </w:rPr>
      </w:pPr>
      <w:r w:rsidRPr="00B9418E">
        <w:rPr>
          <w:rFonts w:ascii="Times New Roman" w:hAnsi="Times New Roman" w:cs="Times New Roman"/>
        </w:rPr>
        <w:t xml:space="preserve">Очной формы обучения </w:t>
      </w:r>
    </w:p>
    <w:p w14:paraId="550014FB" w14:textId="24A5347F" w:rsidR="00B9418E" w:rsidRPr="00B9418E" w:rsidRDefault="00B9418E" w:rsidP="00B9418E">
      <w:pPr>
        <w:spacing w:after="0"/>
        <w:ind w:right="-7" w:hanging="10"/>
        <w:jc w:val="right"/>
        <w:rPr>
          <w:rFonts w:ascii="Times New Roman" w:hAnsi="Times New Roman" w:cs="Times New Roman"/>
        </w:rPr>
      </w:pPr>
      <w:r w:rsidRPr="00B9418E">
        <w:rPr>
          <w:rFonts w:ascii="Times New Roman" w:eastAsia="Calibri" w:hAnsi="Times New Roman" w:cs="Times New Roman"/>
        </w:rPr>
        <w:t xml:space="preserve">Михальченко Виталий Александрович </w:t>
      </w:r>
    </w:p>
    <w:p w14:paraId="351C94FC" w14:textId="77777777" w:rsidR="00B9418E" w:rsidRPr="00B9418E" w:rsidRDefault="00B9418E" w:rsidP="00B9418E">
      <w:pPr>
        <w:spacing w:after="0"/>
        <w:ind w:right="-7" w:hanging="10"/>
        <w:jc w:val="right"/>
        <w:rPr>
          <w:rFonts w:ascii="Times New Roman" w:hAnsi="Times New Roman" w:cs="Times New Roman"/>
        </w:rPr>
      </w:pPr>
    </w:p>
    <w:p w14:paraId="7F31B181" w14:textId="77777777" w:rsidR="00B9418E" w:rsidRPr="00B9418E" w:rsidRDefault="00B9418E" w:rsidP="00B9418E">
      <w:pPr>
        <w:spacing w:after="0" w:line="259" w:lineRule="auto"/>
        <w:ind w:right="-7" w:hanging="10"/>
        <w:jc w:val="right"/>
        <w:rPr>
          <w:rFonts w:ascii="Times New Roman" w:hAnsi="Times New Roman" w:cs="Times New Roman"/>
        </w:rPr>
      </w:pPr>
      <w:r w:rsidRPr="00B9418E">
        <w:rPr>
          <w:rFonts w:ascii="Times New Roman" w:eastAsia="Calibri" w:hAnsi="Times New Roman" w:cs="Times New Roman"/>
        </w:rPr>
        <w:t xml:space="preserve">_____________________________________________ </w:t>
      </w:r>
    </w:p>
    <w:p w14:paraId="30739747" w14:textId="77777777" w:rsidR="00B9418E" w:rsidRPr="00B9418E" w:rsidRDefault="00B9418E" w:rsidP="00B9418E">
      <w:pPr>
        <w:spacing w:after="0" w:line="268" w:lineRule="auto"/>
        <w:ind w:right="-7"/>
        <w:jc w:val="right"/>
        <w:rPr>
          <w:rFonts w:ascii="Times New Roman" w:hAnsi="Times New Roman" w:cs="Times New Roman"/>
        </w:rPr>
      </w:pPr>
      <w:r w:rsidRPr="00B9418E">
        <w:rPr>
          <w:rFonts w:ascii="Times New Roman" w:eastAsia="Times New Roman" w:hAnsi="Times New Roman" w:cs="Times New Roman"/>
          <w:i/>
        </w:rPr>
        <w:t>(подпись обучающегося)</w:t>
      </w:r>
    </w:p>
    <w:p w14:paraId="5D7F4A8B" w14:textId="77777777" w:rsidR="00B9418E" w:rsidRPr="00B9418E" w:rsidRDefault="00B9418E" w:rsidP="00B9418E">
      <w:pPr>
        <w:spacing w:after="0" w:line="268" w:lineRule="auto"/>
        <w:ind w:right="-7"/>
        <w:jc w:val="right"/>
        <w:rPr>
          <w:rFonts w:ascii="Times New Roman" w:hAnsi="Times New Roman" w:cs="Times New Roman"/>
        </w:rPr>
      </w:pPr>
    </w:p>
    <w:p w14:paraId="775BA8D5" w14:textId="77777777" w:rsidR="00B9418E" w:rsidRPr="00B9418E" w:rsidRDefault="00B9418E" w:rsidP="00B9418E">
      <w:pPr>
        <w:spacing w:after="0" w:line="260" w:lineRule="auto"/>
        <w:ind w:right="76" w:hanging="10"/>
        <w:rPr>
          <w:rFonts w:ascii="Times New Roman" w:hAnsi="Times New Roman" w:cs="Times New Roman"/>
        </w:rPr>
      </w:pPr>
      <w:r w:rsidRPr="00B9418E">
        <w:rPr>
          <w:rFonts w:ascii="Times New Roman" w:eastAsia="Times New Roman" w:hAnsi="Times New Roman" w:cs="Times New Roman"/>
          <w:b/>
        </w:rPr>
        <w:t>Отметка</w:t>
      </w:r>
      <w:r w:rsidRPr="00B9418E">
        <w:rPr>
          <w:rFonts w:ascii="Times New Roman" w:hAnsi="Times New Roman" w:cs="Times New Roman"/>
        </w:rPr>
        <w:t xml:space="preserve">____________________ </w:t>
      </w:r>
    </w:p>
    <w:p w14:paraId="1268FAA1" w14:textId="77777777" w:rsidR="00B9418E" w:rsidRPr="00B9418E" w:rsidRDefault="00B9418E" w:rsidP="00B9418E">
      <w:pPr>
        <w:spacing w:after="0" w:line="260" w:lineRule="auto"/>
        <w:ind w:right="76" w:hanging="10"/>
        <w:jc w:val="right"/>
        <w:rPr>
          <w:rFonts w:ascii="Times New Roman" w:hAnsi="Times New Roman" w:cs="Times New Roman"/>
        </w:rPr>
      </w:pPr>
    </w:p>
    <w:p w14:paraId="6063A0B8" w14:textId="77777777" w:rsidR="00B9418E" w:rsidRPr="00B9418E" w:rsidRDefault="00B9418E" w:rsidP="00B9418E">
      <w:pPr>
        <w:spacing w:after="0" w:line="260" w:lineRule="auto"/>
        <w:ind w:right="76" w:hanging="10"/>
        <w:jc w:val="right"/>
        <w:rPr>
          <w:rFonts w:ascii="Times New Roman" w:eastAsia="Times New Roman" w:hAnsi="Times New Roman" w:cs="Times New Roman"/>
          <w:b/>
        </w:rPr>
      </w:pPr>
      <w:r w:rsidRPr="00B9418E">
        <w:rPr>
          <w:rFonts w:ascii="Times New Roman" w:eastAsia="Times New Roman" w:hAnsi="Times New Roman" w:cs="Times New Roman"/>
          <w:b/>
        </w:rPr>
        <w:t xml:space="preserve">Проверил: </w:t>
      </w:r>
    </w:p>
    <w:p w14:paraId="69198F74" w14:textId="77777777" w:rsidR="00B9418E" w:rsidRPr="00B9418E" w:rsidRDefault="00B9418E" w:rsidP="00B9418E">
      <w:pPr>
        <w:spacing w:after="0" w:line="260" w:lineRule="auto"/>
        <w:ind w:right="76" w:hanging="10"/>
        <w:jc w:val="right"/>
        <w:rPr>
          <w:rFonts w:ascii="Times New Roman" w:hAnsi="Times New Roman" w:cs="Times New Roman"/>
        </w:rPr>
      </w:pPr>
      <w:r w:rsidRPr="00B9418E">
        <w:rPr>
          <w:rFonts w:ascii="Times New Roman" w:hAnsi="Times New Roman" w:cs="Times New Roman"/>
        </w:rPr>
        <w:t xml:space="preserve">преподаватель/руководитель: </w:t>
      </w:r>
    </w:p>
    <w:p w14:paraId="14A14277" w14:textId="77777777" w:rsidR="00B9418E" w:rsidRPr="00B9418E" w:rsidRDefault="00B9418E" w:rsidP="00B9418E">
      <w:pPr>
        <w:spacing w:after="0" w:line="259" w:lineRule="auto"/>
        <w:ind w:hanging="10"/>
        <w:jc w:val="right"/>
        <w:rPr>
          <w:rFonts w:ascii="Times New Roman" w:hAnsi="Times New Roman" w:cs="Times New Roman"/>
        </w:rPr>
      </w:pPr>
      <w:r w:rsidRPr="00B9418E">
        <w:rPr>
          <w:rFonts w:ascii="Times New Roman" w:eastAsia="Calibri" w:hAnsi="Times New Roman" w:cs="Times New Roman"/>
        </w:rPr>
        <w:t xml:space="preserve">_________________________________________ </w:t>
      </w:r>
    </w:p>
    <w:p w14:paraId="097F833C" w14:textId="77777777" w:rsidR="00B9418E" w:rsidRPr="00B9418E" w:rsidRDefault="00B9418E" w:rsidP="00B9418E">
      <w:pPr>
        <w:spacing w:after="0" w:line="259" w:lineRule="auto"/>
        <w:ind w:hanging="10"/>
        <w:jc w:val="right"/>
        <w:rPr>
          <w:rFonts w:ascii="Times New Roman" w:hAnsi="Times New Roman" w:cs="Times New Roman"/>
        </w:rPr>
      </w:pPr>
      <w:r w:rsidRPr="00B9418E">
        <w:rPr>
          <w:rFonts w:ascii="Times New Roman" w:eastAsia="Calibri" w:hAnsi="Times New Roman" w:cs="Times New Roman"/>
        </w:rPr>
        <w:t>_________________________________________</w:t>
      </w:r>
    </w:p>
    <w:p w14:paraId="7BDA4A84" w14:textId="77777777" w:rsidR="00B9418E" w:rsidRDefault="00B9418E" w:rsidP="00B9418E">
      <w:pPr>
        <w:spacing w:after="0" w:line="268" w:lineRule="auto"/>
        <w:ind w:hanging="10"/>
        <w:jc w:val="right"/>
        <w:rPr>
          <w:rFonts w:ascii="Times New Roman" w:eastAsia="Times New Roman" w:hAnsi="Times New Roman" w:cs="Times New Roman"/>
          <w:i/>
        </w:rPr>
      </w:pPr>
      <w:r w:rsidRPr="00B9418E">
        <w:rPr>
          <w:rFonts w:ascii="Times New Roman" w:eastAsia="Times New Roman" w:hAnsi="Times New Roman" w:cs="Times New Roman"/>
          <w:i/>
        </w:rPr>
        <w:t>(Ф.И.О., должность, ученая степень, звание)</w:t>
      </w:r>
    </w:p>
    <w:p w14:paraId="61E4D52E" w14:textId="77777777" w:rsidR="00B9418E" w:rsidRPr="00B9418E" w:rsidRDefault="00B9418E" w:rsidP="00B9418E">
      <w:pPr>
        <w:spacing w:after="0" w:line="268" w:lineRule="auto"/>
        <w:ind w:hanging="10"/>
        <w:jc w:val="right"/>
        <w:rPr>
          <w:rFonts w:ascii="Times New Roman" w:hAnsi="Times New Roman" w:cs="Times New Roman"/>
        </w:rPr>
      </w:pPr>
    </w:p>
    <w:p w14:paraId="0069B33A" w14:textId="47F96678" w:rsidR="00B9418E" w:rsidRPr="00B9418E" w:rsidRDefault="00B9418E" w:rsidP="00B9418E">
      <w:pPr>
        <w:spacing w:after="0" w:line="268" w:lineRule="auto"/>
        <w:ind w:hanging="10"/>
        <w:jc w:val="right"/>
        <w:rPr>
          <w:rFonts w:ascii="Times New Roman" w:hAnsi="Times New Roman" w:cs="Times New Roman"/>
        </w:rPr>
      </w:pPr>
      <w:r w:rsidRPr="00B9418E">
        <w:rPr>
          <w:rFonts w:ascii="Times New Roman" w:eastAsia="Times New Roman" w:hAnsi="Times New Roman" w:cs="Times New Roman"/>
          <w:i/>
        </w:rPr>
        <w:t xml:space="preserve">_________________________________________ </w:t>
      </w:r>
    </w:p>
    <w:p w14:paraId="720D628D" w14:textId="77777777" w:rsidR="00B9418E" w:rsidRPr="00B9418E" w:rsidRDefault="00B9418E" w:rsidP="00B9418E">
      <w:pPr>
        <w:spacing w:after="0" w:line="276" w:lineRule="auto"/>
        <w:ind w:right="1179" w:hanging="10"/>
        <w:jc w:val="right"/>
        <w:rPr>
          <w:rFonts w:ascii="Times New Roman" w:hAnsi="Times New Roman" w:cs="Times New Roman"/>
        </w:rPr>
      </w:pPr>
      <w:r w:rsidRPr="00B9418E">
        <w:rPr>
          <w:rFonts w:ascii="Times New Roman" w:eastAsia="Times New Roman" w:hAnsi="Times New Roman" w:cs="Times New Roman"/>
          <w:i/>
        </w:rPr>
        <w:t xml:space="preserve">(подпись руководителя) </w:t>
      </w:r>
    </w:p>
    <w:p w14:paraId="068ABB0E" w14:textId="77777777" w:rsidR="00B9418E" w:rsidRPr="00B9418E" w:rsidRDefault="00B9418E" w:rsidP="00B9418E">
      <w:pPr>
        <w:spacing w:after="0" w:line="268" w:lineRule="auto"/>
        <w:ind w:hanging="10"/>
        <w:jc w:val="right"/>
        <w:rPr>
          <w:rFonts w:ascii="Times New Roman" w:hAnsi="Times New Roman" w:cs="Times New Roman"/>
        </w:rPr>
      </w:pPr>
      <w:r w:rsidRPr="00B9418E">
        <w:rPr>
          <w:rFonts w:ascii="Times New Roman" w:eastAsia="Times New Roman" w:hAnsi="Times New Roman" w:cs="Times New Roman"/>
        </w:rPr>
        <w:t xml:space="preserve">«______» _____________________20________г. </w:t>
      </w:r>
    </w:p>
    <w:p w14:paraId="1336C54E" w14:textId="77777777" w:rsidR="00B9418E" w:rsidRPr="00B9418E" w:rsidRDefault="00B9418E" w:rsidP="00B9418E">
      <w:pPr>
        <w:spacing w:after="0" w:line="259" w:lineRule="auto"/>
        <w:jc w:val="right"/>
        <w:rPr>
          <w:rFonts w:ascii="Times New Roman" w:hAnsi="Times New Roman" w:cs="Times New Roman"/>
        </w:rPr>
      </w:pPr>
      <w:r w:rsidRPr="00B9418E">
        <w:rPr>
          <w:rFonts w:ascii="Times New Roman" w:eastAsia="Times New Roman" w:hAnsi="Times New Roman" w:cs="Times New Roman"/>
          <w:i/>
        </w:rPr>
        <w:t xml:space="preserve"> </w:t>
      </w:r>
    </w:p>
    <w:p w14:paraId="373C042C" w14:textId="77777777" w:rsidR="00B9418E" w:rsidRDefault="00B9418E" w:rsidP="00B9418E">
      <w:pPr>
        <w:spacing w:after="0" w:line="259" w:lineRule="auto"/>
        <w:jc w:val="center"/>
        <w:rPr>
          <w:rFonts w:ascii="Times New Roman" w:hAnsi="Times New Roman" w:cs="Times New Roman"/>
        </w:rPr>
      </w:pPr>
    </w:p>
    <w:p w14:paraId="7D381FC5" w14:textId="77777777" w:rsidR="00B9418E" w:rsidRPr="0052714F" w:rsidRDefault="00B9418E" w:rsidP="00B9418E">
      <w:pPr>
        <w:spacing w:after="0" w:line="259" w:lineRule="auto"/>
        <w:jc w:val="center"/>
        <w:rPr>
          <w:rFonts w:ascii="Times New Roman" w:hAnsi="Times New Roman" w:cs="Times New Roman"/>
        </w:rPr>
      </w:pPr>
      <w:r w:rsidRPr="0052714F">
        <w:rPr>
          <w:rFonts w:ascii="Times New Roman" w:hAnsi="Times New Roman" w:cs="Times New Roman"/>
        </w:rPr>
        <w:t xml:space="preserve">  </w:t>
      </w:r>
    </w:p>
    <w:p w14:paraId="201B97C8" w14:textId="77777777" w:rsidR="00B9418E" w:rsidRDefault="00B9418E" w:rsidP="00B9418E">
      <w:pPr>
        <w:spacing w:after="0"/>
        <w:rPr>
          <w:rFonts w:ascii="Times New Roman" w:hAnsi="Times New Roman" w:cs="Times New Roman"/>
        </w:rPr>
      </w:pPr>
    </w:p>
    <w:p w14:paraId="0F9A6E5C" w14:textId="77777777" w:rsidR="00B9418E" w:rsidRDefault="00B9418E" w:rsidP="00B9418E">
      <w:pPr>
        <w:spacing w:after="0"/>
        <w:rPr>
          <w:rFonts w:ascii="Times New Roman" w:hAnsi="Times New Roman" w:cs="Times New Roman"/>
        </w:rPr>
      </w:pPr>
    </w:p>
    <w:p w14:paraId="36EC1BE4" w14:textId="77777777" w:rsidR="00B9418E" w:rsidRDefault="00B9418E" w:rsidP="00B9418E">
      <w:pPr>
        <w:spacing w:after="0"/>
        <w:rPr>
          <w:rFonts w:ascii="Times New Roman" w:hAnsi="Times New Roman" w:cs="Times New Roman"/>
        </w:rPr>
      </w:pPr>
    </w:p>
    <w:p w14:paraId="11D3371A" w14:textId="32886DE1" w:rsidR="003245D9" w:rsidRDefault="00B9418E" w:rsidP="00B9418E">
      <w:pPr>
        <w:spacing w:after="0"/>
        <w:jc w:val="center"/>
        <w:rPr>
          <w:rFonts w:ascii="Times New Roman" w:hAnsi="Times New Roman" w:cs="Times New Roman"/>
          <w:b/>
          <w:bCs/>
          <w:sz w:val="28"/>
          <w:szCs w:val="28"/>
        </w:rPr>
      </w:pPr>
      <w:r w:rsidRPr="0052714F">
        <w:rPr>
          <w:rFonts w:ascii="Times New Roman" w:hAnsi="Times New Roman" w:cs="Times New Roman"/>
        </w:rPr>
        <w:t>г. Новосибирск 20</w:t>
      </w:r>
      <w:r>
        <w:rPr>
          <w:rFonts w:ascii="Times New Roman" w:eastAsia="Calibri" w:hAnsi="Times New Roman" w:cs="Times New Roman"/>
        </w:rPr>
        <w:t>25</w:t>
      </w:r>
      <w:r w:rsidR="003245D9">
        <w:rPr>
          <w:rFonts w:ascii="Times New Roman" w:hAnsi="Times New Roman" w:cs="Times New Roman"/>
          <w:b/>
          <w:bCs/>
          <w:sz w:val="28"/>
          <w:szCs w:val="28"/>
        </w:rPr>
        <w:br w:type="page"/>
      </w:r>
    </w:p>
    <w:p w14:paraId="5E91C966" w14:textId="6509C8C6" w:rsidR="003245D9" w:rsidRDefault="003245D9" w:rsidP="003245D9">
      <w:pPr>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Оглавление</w:t>
      </w:r>
    </w:p>
    <w:p w14:paraId="031A6CEF" w14:textId="63531AE6" w:rsidR="00C80285" w:rsidRPr="00C80285" w:rsidRDefault="00AB3643">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b/>
          <w:bCs/>
          <w:sz w:val="28"/>
          <w:szCs w:val="28"/>
        </w:rPr>
        <w:fldChar w:fldCharType="begin"/>
      </w:r>
      <w:r w:rsidRPr="00C80285">
        <w:rPr>
          <w:rFonts w:ascii="Times New Roman" w:hAnsi="Times New Roman" w:cs="Times New Roman"/>
          <w:b/>
          <w:bCs/>
          <w:sz w:val="28"/>
          <w:szCs w:val="28"/>
        </w:rPr>
        <w:instrText xml:space="preserve"> TOC \o "1-2" \u </w:instrText>
      </w:r>
      <w:r w:rsidRPr="00C80285">
        <w:rPr>
          <w:rFonts w:ascii="Times New Roman" w:hAnsi="Times New Roman" w:cs="Times New Roman"/>
          <w:b/>
          <w:bCs/>
          <w:sz w:val="28"/>
          <w:szCs w:val="28"/>
        </w:rPr>
        <w:fldChar w:fldCharType="separate"/>
      </w:r>
      <w:r w:rsidR="00C80285" w:rsidRPr="00C80285">
        <w:rPr>
          <w:rFonts w:ascii="Times New Roman" w:hAnsi="Times New Roman" w:cs="Times New Roman"/>
          <w:noProof/>
          <w:sz w:val="28"/>
          <w:szCs w:val="28"/>
        </w:rPr>
        <w:t>Введение</w:t>
      </w:r>
      <w:r w:rsidR="00C80285" w:rsidRPr="00C80285">
        <w:rPr>
          <w:rFonts w:ascii="Times New Roman" w:hAnsi="Times New Roman" w:cs="Times New Roman"/>
          <w:noProof/>
          <w:sz w:val="28"/>
          <w:szCs w:val="28"/>
        </w:rPr>
        <w:tab/>
      </w:r>
      <w:r w:rsidR="00C80285" w:rsidRPr="00C80285">
        <w:rPr>
          <w:rFonts w:ascii="Times New Roman" w:hAnsi="Times New Roman" w:cs="Times New Roman"/>
          <w:noProof/>
          <w:sz w:val="28"/>
          <w:szCs w:val="28"/>
        </w:rPr>
        <w:fldChar w:fldCharType="begin"/>
      </w:r>
      <w:r w:rsidR="00C80285" w:rsidRPr="00C80285">
        <w:rPr>
          <w:rFonts w:ascii="Times New Roman" w:hAnsi="Times New Roman" w:cs="Times New Roman"/>
          <w:noProof/>
          <w:sz w:val="28"/>
          <w:szCs w:val="28"/>
        </w:rPr>
        <w:instrText xml:space="preserve"> PAGEREF _Toc214298214 \h </w:instrText>
      </w:r>
      <w:r w:rsidR="00C80285" w:rsidRPr="00C80285">
        <w:rPr>
          <w:rFonts w:ascii="Times New Roman" w:hAnsi="Times New Roman" w:cs="Times New Roman"/>
          <w:noProof/>
          <w:sz w:val="28"/>
          <w:szCs w:val="28"/>
        </w:rPr>
      </w:r>
      <w:r w:rsidR="00C80285" w:rsidRPr="00C80285">
        <w:rPr>
          <w:rFonts w:ascii="Times New Roman" w:hAnsi="Times New Roman" w:cs="Times New Roman"/>
          <w:noProof/>
          <w:sz w:val="28"/>
          <w:szCs w:val="28"/>
        </w:rPr>
        <w:fldChar w:fldCharType="separate"/>
      </w:r>
      <w:r w:rsidR="00C80285" w:rsidRPr="00C80285">
        <w:rPr>
          <w:rFonts w:ascii="Times New Roman" w:hAnsi="Times New Roman" w:cs="Times New Roman"/>
          <w:noProof/>
          <w:sz w:val="28"/>
          <w:szCs w:val="28"/>
        </w:rPr>
        <w:t>3</w:t>
      </w:r>
      <w:r w:rsidR="00C80285" w:rsidRPr="00C80285">
        <w:rPr>
          <w:rFonts w:ascii="Times New Roman" w:hAnsi="Times New Roman" w:cs="Times New Roman"/>
          <w:noProof/>
          <w:sz w:val="28"/>
          <w:szCs w:val="28"/>
        </w:rPr>
        <w:fldChar w:fldCharType="end"/>
      </w:r>
    </w:p>
    <w:p w14:paraId="27D1C699" w14:textId="20D3FA28"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ГЛАВА 1. НОРМАТИВНО-ПРАВОВАЯ БАЗА И ОСНОВНЫЕ ПРИНЦИПЫ</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_Toc214298215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5</w:t>
      </w:r>
      <w:r w:rsidRPr="00C80285">
        <w:rPr>
          <w:rFonts w:ascii="Times New Roman" w:hAnsi="Times New Roman" w:cs="Times New Roman"/>
          <w:noProof/>
          <w:sz w:val="28"/>
          <w:szCs w:val="28"/>
        </w:rPr>
        <w:fldChar w:fldCharType="end"/>
      </w:r>
    </w:p>
    <w:p w14:paraId="35BC90C9" w14:textId="48E63951"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1.1 Эволюция законодательства ЕС</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_Toc214298216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5</w:t>
      </w:r>
      <w:r w:rsidRPr="00C80285">
        <w:rPr>
          <w:rFonts w:ascii="Times New Roman" w:hAnsi="Times New Roman" w:cs="Times New Roman"/>
          <w:noProof/>
          <w:sz w:val="28"/>
          <w:szCs w:val="28"/>
        </w:rPr>
        <w:fldChar w:fldCharType="end"/>
      </w:r>
    </w:p>
    <w:p w14:paraId="1E0B3827" w14:textId="1944D308"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1.2 Концептуальные основы</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_Toc214298217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7</w:t>
      </w:r>
      <w:r w:rsidRPr="00C80285">
        <w:rPr>
          <w:rFonts w:ascii="Times New Roman" w:hAnsi="Times New Roman" w:cs="Times New Roman"/>
          <w:noProof/>
          <w:sz w:val="28"/>
          <w:szCs w:val="28"/>
        </w:rPr>
        <w:fldChar w:fldCharType="end"/>
      </w:r>
    </w:p>
    <w:p w14:paraId="2F75EE6F" w14:textId="04B4199E"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ГЛАВА 2. МЕХАНИЗМ ОРГАНИЗАЦИИ И КООРДИНАЦИЯ</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_Toc214298218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9</w:t>
      </w:r>
      <w:r w:rsidRPr="00C80285">
        <w:rPr>
          <w:rFonts w:ascii="Times New Roman" w:hAnsi="Times New Roman" w:cs="Times New Roman"/>
          <w:noProof/>
          <w:sz w:val="28"/>
          <w:szCs w:val="28"/>
        </w:rPr>
        <w:fldChar w:fldCharType="end"/>
      </w:r>
    </w:p>
    <w:p w14:paraId="5A48EFFD" w14:textId="430CC924"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2.1 Система основного и вторичного производства</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_Toc214298219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9</w:t>
      </w:r>
      <w:r w:rsidRPr="00C80285">
        <w:rPr>
          <w:rFonts w:ascii="Times New Roman" w:hAnsi="Times New Roman" w:cs="Times New Roman"/>
          <w:noProof/>
          <w:sz w:val="28"/>
          <w:szCs w:val="28"/>
        </w:rPr>
        <w:fldChar w:fldCharType="end"/>
      </w:r>
    </w:p>
    <w:p w14:paraId="3B2BAAAE" w14:textId="6223A1BD" w:rsidR="00C80285" w:rsidRPr="00C80285" w:rsidRDefault="00C80285">
      <w:pPr>
        <w:pStyle w:val="23"/>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2.2 Новые механизмы координации</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_Toc214298220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11</w:t>
      </w:r>
      <w:r w:rsidRPr="00C80285">
        <w:rPr>
          <w:rFonts w:ascii="Times New Roman" w:hAnsi="Times New Roman" w:cs="Times New Roman"/>
          <w:noProof/>
          <w:sz w:val="28"/>
          <w:szCs w:val="28"/>
        </w:rPr>
        <w:fldChar w:fldCharType="end"/>
      </w:r>
    </w:p>
    <w:p w14:paraId="153FB306" w14:textId="299AE123"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Заключение</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_Toc214298221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16</w:t>
      </w:r>
      <w:r w:rsidRPr="00C80285">
        <w:rPr>
          <w:rFonts w:ascii="Times New Roman" w:hAnsi="Times New Roman" w:cs="Times New Roman"/>
          <w:noProof/>
          <w:sz w:val="28"/>
          <w:szCs w:val="28"/>
        </w:rPr>
        <w:fldChar w:fldCharType="end"/>
      </w:r>
    </w:p>
    <w:p w14:paraId="47C3B08A" w14:textId="24E25411" w:rsidR="00C80285" w:rsidRPr="00C80285" w:rsidRDefault="00C80285">
      <w:pPr>
        <w:pStyle w:val="11"/>
        <w:tabs>
          <w:tab w:val="right" w:leader="dot" w:pos="9628"/>
        </w:tabs>
        <w:rPr>
          <w:rFonts w:ascii="Times New Roman" w:eastAsiaTheme="minorEastAsia" w:hAnsi="Times New Roman" w:cs="Times New Roman"/>
          <w:noProof/>
          <w:sz w:val="28"/>
          <w:szCs w:val="28"/>
          <w:lang w:eastAsia="ru-RU"/>
        </w:rPr>
      </w:pPr>
      <w:r w:rsidRPr="00C80285">
        <w:rPr>
          <w:rFonts w:ascii="Times New Roman" w:hAnsi="Times New Roman" w:cs="Times New Roman"/>
          <w:noProof/>
          <w:sz w:val="28"/>
          <w:szCs w:val="28"/>
        </w:rPr>
        <w:t>Список литературы</w:t>
      </w:r>
      <w:r w:rsidRPr="00C80285">
        <w:rPr>
          <w:rFonts w:ascii="Times New Roman" w:hAnsi="Times New Roman" w:cs="Times New Roman"/>
          <w:noProof/>
          <w:sz w:val="28"/>
          <w:szCs w:val="28"/>
        </w:rPr>
        <w:tab/>
      </w:r>
      <w:r w:rsidRPr="00C80285">
        <w:rPr>
          <w:rFonts w:ascii="Times New Roman" w:hAnsi="Times New Roman" w:cs="Times New Roman"/>
          <w:noProof/>
          <w:sz w:val="28"/>
          <w:szCs w:val="28"/>
        </w:rPr>
        <w:fldChar w:fldCharType="begin"/>
      </w:r>
      <w:r w:rsidRPr="00C80285">
        <w:rPr>
          <w:rFonts w:ascii="Times New Roman" w:hAnsi="Times New Roman" w:cs="Times New Roman"/>
          <w:noProof/>
          <w:sz w:val="28"/>
          <w:szCs w:val="28"/>
        </w:rPr>
        <w:instrText xml:space="preserve"> PAGEREF _Toc214298222 \h </w:instrText>
      </w:r>
      <w:r w:rsidRPr="00C80285">
        <w:rPr>
          <w:rFonts w:ascii="Times New Roman" w:hAnsi="Times New Roman" w:cs="Times New Roman"/>
          <w:noProof/>
          <w:sz w:val="28"/>
          <w:szCs w:val="28"/>
        </w:rPr>
      </w:r>
      <w:r w:rsidRPr="00C80285">
        <w:rPr>
          <w:rFonts w:ascii="Times New Roman" w:hAnsi="Times New Roman" w:cs="Times New Roman"/>
          <w:noProof/>
          <w:sz w:val="28"/>
          <w:szCs w:val="28"/>
        </w:rPr>
        <w:fldChar w:fldCharType="separate"/>
      </w:r>
      <w:r w:rsidRPr="00C80285">
        <w:rPr>
          <w:rFonts w:ascii="Times New Roman" w:hAnsi="Times New Roman" w:cs="Times New Roman"/>
          <w:noProof/>
          <w:sz w:val="28"/>
          <w:szCs w:val="28"/>
        </w:rPr>
        <w:t>18</w:t>
      </w:r>
      <w:r w:rsidRPr="00C80285">
        <w:rPr>
          <w:rFonts w:ascii="Times New Roman" w:hAnsi="Times New Roman" w:cs="Times New Roman"/>
          <w:noProof/>
          <w:sz w:val="28"/>
          <w:szCs w:val="28"/>
        </w:rPr>
        <w:fldChar w:fldCharType="end"/>
      </w:r>
    </w:p>
    <w:p w14:paraId="3BFE1578" w14:textId="39588349" w:rsidR="003245D9" w:rsidRDefault="00AB3643">
      <w:pPr>
        <w:rPr>
          <w:rFonts w:ascii="Times New Roman" w:hAnsi="Times New Roman" w:cs="Times New Roman"/>
          <w:b/>
          <w:bCs/>
          <w:sz w:val="28"/>
          <w:szCs w:val="28"/>
        </w:rPr>
      </w:pPr>
      <w:r w:rsidRPr="00C80285">
        <w:rPr>
          <w:rFonts w:ascii="Times New Roman" w:hAnsi="Times New Roman" w:cs="Times New Roman"/>
          <w:b/>
          <w:bCs/>
          <w:sz w:val="28"/>
          <w:szCs w:val="28"/>
        </w:rPr>
        <w:fldChar w:fldCharType="end"/>
      </w:r>
    </w:p>
    <w:p w14:paraId="7CBC31ED" w14:textId="32EFFE5D" w:rsidR="003245D9" w:rsidRDefault="003245D9">
      <w:pPr>
        <w:rPr>
          <w:rFonts w:ascii="Times New Roman" w:hAnsi="Times New Roman" w:cs="Times New Roman"/>
          <w:b/>
          <w:bCs/>
          <w:sz w:val="28"/>
          <w:szCs w:val="28"/>
        </w:rPr>
      </w:pPr>
      <w:r>
        <w:rPr>
          <w:rFonts w:ascii="Times New Roman" w:hAnsi="Times New Roman" w:cs="Times New Roman"/>
          <w:b/>
          <w:bCs/>
          <w:sz w:val="28"/>
          <w:szCs w:val="28"/>
        </w:rPr>
        <w:br w:type="page"/>
      </w:r>
    </w:p>
    <w:p w14:paraId="63AC34F8" w14:textId="395491D0" w:rsidR="003245D9" w:rsidRDefault="003245D9" w:rsidP="003245D9">
      <w:pPr>
        <w:pStyle w:val="1"/>
      </w:pPr>
      <w:bookmarkStart w:id="0" w:name="_Toc214298214"/>
      <w:r w:rsidRPr="003245D9">
        <w:lastRenderedPageBreak/>
        <w:t>Введение</w:t>
      </w:r>
      <w:bookmarkEnd w:id="0"/>
    </w:p>
    <w:p w14:paraId="1A1D1FB6"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Актуальность темы исследования обусловлена процессами глобализации экономики и углубления интеграции в рамках Европейского Союза, которые привели к значительному росту трансграничных экономических связей и, как следствие, к увеличению количества случаев трансграничной несостоятельности. В условиях единого европейского рынка компании всё чаще ведут деятельность в нескольких юрисдикциях, что создаёт сложные правовые коллизии при наступлении финансовых затруднений и банкротства.</w:t>
      </w:r>
    </w:p>
    <w:p w14:paraId="6A564D00"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Европейский Союз разработал уникальную систему регулирования трансграничной несостоятельности, основанную на принципе модифицированного универсализма и реализованную через специальные регламенты. Эта система представляет собой попытку найти баланс между эффективностью единого производства и защитой локальных интересов кредиторов, что делает её изучение важным для понимания современных тенденций развития международного права несостоятельности.</w:t>
      </w:r>
    </w:p>
    <w:p w14:paraId="0BD4E892"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Целью данной работы является комплексный анализ европейской модели регулирования трансграничной несостоятельности, её нормативно-правовой базы, концептуальных основ и механизмов координации.</w:t>
      </w:r>
    </w:p>
    <w:p w14:paraId="01EAEE47"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Для достижения поставленной цели необходимо решить следующие задачи:</w:t>
      </w:r>
    </w:p>
    <w:p w14:paraId="2CC3C6FA"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проанализировать эволюцию европейского законодательства о трансграничной несостоятельности;</w:t>
      </w:r>
    </w:p>
    <w:p w14:paraId="6DB52C9A"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раскрыть концептуальные основы европейской модели регулирования;</w:t>
      </w:r>
    </w:p>
    <w:p w14:paraId="5A7D013C"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исследовать систему основного и вторичного производства;</w:t>
      </w:r>
    </w:p>
    <w:p w14:paraId="08A54D37" w14:textId="77777777" w:rsidR="0004501C" w:rsidRPr="0004501C" w:rsidRDefault="0004501C" w:rsidP="0004501C">
      <w:pPr>
        <w:numPr>
          <w:ilvl w:val="0"/>
          <w:numId w:val="8"/>
        </w:numPr>
        <w:spacing w:after="0" w:line="360" w:lineRule="auto"/>
        <w:ind w:left="0" w:firstLine="709"/>
        <w:jc w:val="both"/>
        <w:rPr>
          <w:rFonts w:ascii="Times New Roman" w:hAnsi="Times New Roman" w:cs="Times New Roman"/>
          <w:sz w:val="28"/>
          <w:szCs w:val="28"/>
        </w:rPr>
      </w:pPr>
      <w:r w:rsidRPr="0004501C">
        <w:rPr>
          <w:rFonts w:ascii="Times New Roman" w:hAnsi="Times New Roman" w:cs="Times New Roman"/>
          <w:sz w:val="28"/>
          <w:szCs w:val="28"/>
        </w:rPr>
        <w:t>изучить новые механизмы координации, введённые Регламентом 2015/848.</w:t>
      </w:r>
    </w:p>
    <w:p w14:paraId="488FF878"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Объектом исследования являются общественные отношения, возникающие в процессе регулирования трансграничной несостоятельности в Европейском Союзе.</w:t>
      </w:r>
    </w:p>
    <w:p w14:paraId="563BE3FE"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lastRenderedPageBreak/>
        <w:t>Предметом исследования выступают нормы европейского права, регулирующие производство по делам о трансграничной несостоятельности, а также механизмы их практической реализации.</w:t>
      </w:r>
    </w:p>
    <w:p w14:paraId="52A65D4A"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Методологическую основу работы составляют общенаучные методы познания (анализ, синтез, системный подход), а также специальные юридические методы: формально-юридический, сравнительно-правовой и метод толкования правовых норм.</w:t>
      </w:r>
    </w:p>
    <w:p w14:paraId="5355CDCD" w14:textId="6BF4A6E4"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Нормативную базу исследования образуют Регламент Совета (ЕС) № 1346/2000, Регламент Европейского Парламента и Совета (ЕС) 2015/848, Директива (ЕС) 2019/1023, а также решения Суда ЕС.</w:t>
      </w:r>
    </w:p>
    <w:p w14:paraId="1DC51D39"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Структура работы включает введение, две главы, заключение и список использованных источников. Первая глава посвящена нормативно-правовой базе и основным принципам европейской модели, вторая глава раскрывает механизмы организации и координации трансграничных производств.</w:t>
      </w:r>
    </w:p>
    <w:p w14:paraId="68D8BE31" w14:textId="77777777" w:rsidR="0004501C" w:rsidRPr="0004501C" w:rsidRDefault="0004501C" w:rsidP="0004501C"/>
    <w:p w14:paraId="62DAEC32" w14:textId="462BFEA9" w:rsidR="00F217E6" w:rsidRDefault="00F217E6" w:rsidP="00A60A25">
      <w:pPr>
        <w:spacing w:after="0" w:line="360" w:lineRule="auto"/>
        <w:ind w:firstLine="709"/>
        <w:jc w:val="both"/>
        <w:rPr>
          <w:rFonts w:ascii="Times New Roman" w:hAnsi="Times New Roman" w:cs="Times New Roman"/>
          <w:sz w:val="28"/>
          <w:szCs w:val="28"/>
        </w:rPr>
      </w:pPr>
    </w:p>
    <w:p w14:paraId="60E116A1" w14:textId="77777777" w:rsidR="00F909C0" w:rsidRPr="00F909C0" w:rsidRDefault="00F217E6" w:rsidP="000A1183">
      <w:pPr>
        <w:pStyle w:val="1"/>
        <w:rPr>
          <w:rFonts w:eastAsiaTheme="minorHAnsi"/>
        </w:rPr>
      </w:pPr>
      <w:r>
        <w:br w:type="page"/>
      </w:r>
      <w:bookmarkStart w:id="1" w:name="_Toc214298215"/>
      <w:r w:rsidR="00F909C0" w:rsidRPr="00F909C0">
        <w:rPr>
          <w:rFonts w:eastAsiaTheme="minorHAnsi"/>
        </w:rPr>
        <w:lastRenderedPageBreak/>
        <w:t>ГЛАВА 1. НОРМАТИВНО-ПРАВОВАЯ БАЗА И ОСНОВНЫЕ ПРИНЦИПЫ</w:t>
      </w:r>
      <w:bookmarkEnd w:id="1"/>
    </w:p>
    <w:p w14:paraId="362E0F1B" w14:textId="77777777" w:rsidR="00F909C0" w:rsidRPr="00F909C0" w:rsidRDefault="00F909C0" w:rsidP="000A1183">
      <w:pPr>
        <w:pStyle w:val="2"/>
      </w:pPr>
      <w:bookmarkStart w:id="2" w:name="_Toc214298216"/>
      <w:r w:rsidRPr="00F909C0">
        <w:t>1.1 Эволюция законодательства ЕС</w:t>
      </w:r>
      <w:bookmarkEnd w:id="2"/>
    </w:p>
    <w:p w14:paraId="2E8C4997" w14:textId="2D9CA1CA"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Развитие европейского законодательства о трансграничной несостоятельности представляет собой длительный процесс, отражающий стремление к унификации и упорядочению правовых отношений в условиях интеграции. Первые попытки координации относились к 1933 году, когда была подписана Скандинавская конвенция по вопросам банкротства между Данией, Исландией и Норвегией, которая и по настоящее время регулирует правоотношения в этом регионе. В 1995 году в рамках развития общей европейской политики была принята Конвенция о производстве по делам о несостоятельности, однако она так и не вступила в силу из-за отказа Великобритании её ратифицировать в установленные сроки.</w:t>
      </w:r>
    </w:p>
    <w:p w14:paraId="4E459773" w14:textId="751F2430"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Поворотным моментом стало принятие Регламента Совета (ЕС) № 1346/2000 о производстве по делам о несостоятельности, вступившего в силу 31 мая 2002 года</w:t>
      </w:r>
      <w:r w:rsidR="00FC5DD8">
        <w:rPr>
          <w:rStyle w:val="af2"/>
          <w:rFonts w:ascii="Times New Roman" w:hAnsi="Times New Roman" w:cs="Times New Roman"/>
          <w:sz w:val="28"/>
          <w:szCs w:val="28"/>
        </w:rPr>
        <w:footnoteReference w:id="1"/>
      </w:r>
      <w:r w:rsidRPr="00F909C0">
        <w:rPr>
          <w:rFonts w:ascii="Times New Roman" w:hAnsi="Times New Roman" w:cs="Times New Roman"/>
          <w:sz w:val="28"/>
          <w:szCs w:val="28"/>
        </w:rPr>
        <w:t>. Данный документ стал первым наднациональным актом, который не пытался унифицировать или гармонизировать материальное право о несостоятельности в различных государствах-членах, а вместо этого закрепил единые коллизионные нормы, определяющие международную подсудность и применимое право. Регламент 1346/2000 применялся ко всем государствам-членам ЕС, за исключением Дании, которая получила исключение из области свободы, безопасности и правосудия.</w:t>
      </w:r>
    </w:p>
    <w:p w14:paraId="6C5CB767" w14:textId="2637927F"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Опыт применения Регламента 1346/2000 в течение более чем десяти лет выявил необходимость его модернизации. В соответствии со статьей 46 Регламента, 12 декабря 2012 года Европейская Комиссия опубликовала доклад о применении этого нормативного акта. Несмотря на вывод о том, что Регламент функционирует в целом удовлетворительно, было признано необходимым улучшить применение некоторых его положений для повышения эффективности </w:t>
      </w:r>
      <w:r w:rsidRPr="00F909C0">
        <w:rPr>
          <w:rFonts w:ascii="Times New Roman" w:hAnsi="Times New Roman" w:cs="Times New Roman"/>
          <w:sz w:val="28"/>
          <w:szCs w:val="28"/>
        </w:rPr>
        <w:lastRenderedPageBreak/>
        <w:t>управления трансграничными процедурами банкротства. Особое внимание уделялось проблемам, связанным с отсутствием механизмов координации при банкротстве групп компаний, необходимостью уточнить понятие центра основных интересов должника и расширить применение Регламента на новые категории процедур.</w:t>
      </w:r>
    </w:p>
    <w:p w14:paraId="39FFB3CB" w14:textId="1935B238"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Результатом этого анализа стало принятие Регламента Европейского Парламента и Совета (ЕС) 2015/848 от 20 мая 2015 года о производстве по делам о несостоятельности (новая редакция), который вступил в силу 26 июня 2017 года</w:t>
      </w:r>
      <w:r w:rsidR="00FC5DD8">
        <w:rPr>
          <w:rStyle w:val="af2"/>
          <w:rFonts w:ascii="Times New Roman" w:hAnsi="Times New Roman" w:cs="Times New Roman"/>
          <w:sz w:val="28"/>
          <w:szCs w:val="28"/>
        </w:rPr>
        <w:footnoteReference w:id="2"/>
      </w:r>
      <w:r w:rsidRPr="00F909C0">
        <w:rPr>
          <w:rFonts w:ascii="Times New Roman" w:hAnsi="Times New Roman" w:cs="Times New Roman"/>
          <w:sz w:val="28"/>
          <w:szCs w:val="28"/>
        </w:rPr>
        <w:t>. Этот новый Регламент, именуемый также EIR Recast, представил существенные изменения в регулирование трансграничной несостоятельности в Европейском Союзе. Регламент 2015/848 сохранил основной подход своего предшественника, но значительно расширил и уточнил его положения, отражая эволюцию правовой практики и потребности интегрирующегося европейского рынка.</w:t>
      </w:r>
    </w:p>
    <w:p w14:paraId="430F9328" w14:textId="4B8F0D52" w:rsid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Параллельно с развитием специального регламента о несостоятельности необходимо отметить принятие Директивы (ЕС) 2019/1023 о превентивных процедурах реструктуризации от 20 июня 2019 года</w:t>
      </w:r>
      <w:r w:rsidR="00FC5DD8">
        <w:rPr>
          <w:rStyle w:val="af2"/>
          <w:rFonts w:ascii="Times New Roman" w:hAnsi="Times New Roman" w:cs="Times New Roman"/>
          <w:sz w:val="28"/>
          <w:szCs w:val="28"/>
        </w:rPr>
        <w:footnoteReference w:id="3"/>
      </w:r>
      <w:r w:rsidRPr="00F909C0">
        <w:rPr>
          <w:rFonts w:ascii="Times New Roman" w:hAnsi="Times New Roman" w:cs="Times New Roman"/>
          <w:sz w:val="28"/>
          <w:szCs w:val="28"/>
        </w:rPr>
        <w:t>. Эта Директива ввела первые в истории ЕС меры по минимальной гармонизации материального права о реструктуризации и несостоятельности, предусматривая возможность предприятиям в финансовых затруднениях реструктурироваться на ранней стадии, избегая формального банкротства. Директива была обязательна к транспозиции в национальное законодательство к июлю 2021 года (с возможным продлением на год), что стало важным шагом в направлении материальной гармонизации европейского insolvency law.</w:t>
      </w:r>
    </w:p>
    <w:p w14:paraId="557B009C" w14:textId="77777777" w:rsidR="000A1183" w:rsidRPr="00F909C0" w:rsidRDefault="000A1183" w:rsidP="00D21548">
      <w:pPr>
        <w:spacing w:after="0" w:line="360" w:lineRule="auto"/>
        <w:ind w:firstLine="709"/>
        <w:jc w:val="both"/>
        <w:rPr>
          <w:rFonts w:ascii="Times New Roman" w:hAnsi="Times New Roman" w:cs="Times New Roman"/>
          <w:sz w:val="28"/>
          <w:szCs w:val="28"/>
        </w:rPr>
      </w:pPr>
    </w:p>
    <w:p w14:paraId="478D43F1" w14:textId="77777777" w:rsidR="00F909C0" w:rsidRPr="000A1183" w:rsidRDefault="00F909C0" w:rsidP="000A1183">
      <w:pPr>
        <w:pStyle w:val="2"/>
      </w:pPr>
      <w:bookmarkStart w:id="3" w:name="_Toc214298217"/>
      <w:r w:rsidRPr="000A1183">
        <w:lastRenderedPageBreak/>
        <w:t>1.2 Концептуальные основы</w:t>
      </w:r>
      <w:bookmarkEnd w:id="3"/>
    </w:p>
    <w:p w14:paraId="352CACCC" w14:textId="6DEAFB34"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Европейская модель регулирования трансграничной несостоятельности базируется на концепции модифицированно</w:t>
      </w:r>
      <w:r w:rsidR="00511432">
        <w:rPr>
          <w:rFonts w:ascii="Times New Roman" w:hAnsi="Times New Roman" w:cs="Times New Roman"/>
          <w:sz w:val="28"/>
          <w:szCs w:val="28"/>
        </w:rPr>
        <w:t>й</w:t>
      </w:r>
      <w:r w:rsidRPr="00F909C0">
        <w:rPr>
          <w:rFonts w:ascii="Times New Roman" w:hAnsi="Times New Roman" w:cs="Times New Roman"/>
          <w:sz w:val="28"/>
          <w:szCs w:val="28"/>
        </w:rPr>
        <w:t xml:space="preserve"> универсал</w:t>
      </w:r>
      <w:r w:rsidR="00511432">
        <w:rPr>
          <w:rFonts w:ascii="Times New Roman" w:hAnsi="Times New Roman" w:cs="Times New Roman"/>
          <w:sz w:val="28"/>
          <w:szCs w:val="28"/>
        </w:rPr>
        <w:t>ьности</w:t>
      </w:r>
      <w:r w:rsidRPr="00F909C0">
        <w:rPr>
          <w:rFonts w:ascii="Times New Roman" w:hAnsi="Times New Roman" w:cs="Times New Roman"/>
          <w:sz w:val="28"/>
          <w:szCs w:val="28"/>
        </w:rPr>
        <w:t>, представляющей компромисс между двумя классическими подходами — универсал</w:t>
      </w:r>
      <w:r w:rsidR="00511432">
        <w:rPr>
          <w:rFonts w:ascii="Times New Roman" w:hAnsi="Times New Roman" w:cs="Times New Roman"/>
          <w:sz w:val="28"/>
          <w:szCs w:val="28"/>
        </w:rPr>
        <w:t>ьным</w:t>
      </w:r>
      <w:r w:rsidRPr="00F909C0">
        <w:rPr>
          <w:rFonts w:ascii="Times New Roman" w:hAnsi="Times New Roman" w:cs="Times New Roman"/>
          <w:sz w:val="28"/>
          <w:szCs w:val="28"/>
        </w:rPr>
        <w:t xml:space="preserve"> и территориал</w:t>
      </w:r>
      <w:r w:rsidR="00511432">
        <w:rPr>
          <w:rFonts w:ascii="Times New Roman" w:hAnsi="Times New Roman" w:cs="Times New Roman"/>
          <w:sz w:val="28"/>
          <w:szCs w:val="28"/>
        </w:rPr>
        <w:t>ьным</w:t>
      </w:r>
      <w:r w:rsidRPr="00F909C0">
        <w:rPr>
          <w:rFonts w:ascii="Times New Roman" w:hAnsi="Times New Roman" w:cs="Times New Roman"/>
          <w:sz w:val="28"/>
          <w:szCs w:val="28"/>
        </w:rPr>
        <w:t>. Универсализм предполагает единственное и единое производство по делу о несостоятельности, охватывающее все активы должника во всех юрисдикциях и подчиняющееся единому закону. Территориал</w:t>
      </w:r>
      <w:r w:rsidR="00511432">
        <w:rPr>
          <w:rFonts w:ascii="Times New Roman" w:hAnsi="Times New Roman" w:cs="Times New Roman"/>
          <w:sz w:val="28"/>
          <w:szCs w:val="28"/>
        </w:rPr>
        <w:t>ьный</w:t>
      </w:r>
      <w:r w:rsidRPr="00F909C0">
        <w:rPr>
          <w:rFonts w:ascii="Times New Roman" w:hAnsi="Times New Roman" w:cs="Times New Roman"/>
          <w:sz w:val="28"/>
          <w:szCs w:val="28"/>
        </w:rPr>
        <w:t>, напротив, ограничивает действие любого производства по несостоятельности активами, находящимися в пределах территории конкретной юрисдикции. Модифицированный универсализм стремится соединить эффективность и справедливость, устанавливая единственное центральное производство (в центре основных интересов должника) с возможностью открытия вторичных производств в других юрисдикциях в тех случаях, когда это является необходимым для защиты локальных интересов или эффективного управления имуществом.</w:t>
      </w:r>
    </w:p>
    <w:p w14:paraId="76D795C3" w14:textId="1705B3D4"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Центральной категорией Регламента 2015/848 является концепция центра основных интересов должника (Centre of Main Interests, COMI)</w:t>
      </w:r>
      <w:r w:rsidR="00511432">
        <w:rPr>
          <w:rStyle w:val="af2"/>
          <w:rFonts w:ascii="Times New Roman" w:hAnsi="Times New Roman" w:cs="Times New Roman"/>
          <w:sz w:val="28"/>
          <w:szCs w:val="28"/>
        </w:rPr>
        <w:footnoteReference w:id="4"/>
      </w:r>
      <w:r w:rsidRPr="00F909C0">
        <w:rPr>
          <w:rFonts w:ascii="Times New Roman" w:hAnsi="Times New Roman" w:cs="Times New Roman"/>
          <w:sz w:val="28"/>
          <w:szCs w:val="28"/>
        </w:rPr>
        <w:t xml:space="preserve">. В соответствии со статьей 3 Регламента, COMI определяется как место, где должник осуществляет администрирование своих интересов на обычной основе и которое доступно третьим лицам. Это определение является ключевым для установления международной подсудности для открытия основного производства по делу о несостоятельности. В рамках развития судебной практики Суда ЕС были установлены презумпции, согласно которым COMI предполагается находиться в месте зарегистрированного офиса компании, однако эта презумпция может быть опровергнута, если центральное администрирование и управление интересами компании фактически находится в другом государстве-члене. Данная презумпция </w:t>
      </w:r>
      <w:r w:rsidRPr="00F909C0">
        <w:rPr>
          <w:rFonts w:ascii="Times New Roman" w:hAnsi="Times New Roman" w:cs="Times New Roman"/>
          <w:sz w:val="28"/>
          <w:szCs w:val="28"/>
        </w:rPr>
        <w:lastRenderedPageBreak/>
        <w:t>не применяется, если произошла смена зарегистрированного офиса в течение трёх месяцев до открытия производства.</w:t>
      </w:r>
    </w:p>
    <w:p w14:paraId="60683205" w14:textId="5E8CBB35"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Недавнее решение Суда Справедливости ЕС от 19 сентября 2024 года в деле C-501/23 DL v Land Berlin уточнило применение концепции COMI в отношении физических лиц, указав, что COMI может быть предположительно расположен в месте основной профессиональной деятельности даже при отсутствии материальных средств или активов там. Это решение демонстрирует продолжающуюся эволюцию судебной практики в области интерпретации Регламента</w:t>
      </w:r>
      <w:r w:rsidR="00C80285">
        <w:rPr>
          <w:rStyle w:val="af2"/>
          <w:rFonts w:ascii="Times New Roman" w:hAnsi="Times New Roman" w:cs="Times New Roman"/>
          <w:sz w:val="28"/>
          <w:szCs w:val="28"/>
        </w:rPr>
        <w:footnoteReference w:id="5"/>
      </w:r>
      <w:r w:rsidRPr="00F909C0">
        <w:rPr>
          <w:rFonts w:ascii="Times New Roman" w:hAnsi="Times New Roman" w:cs="Times New Roman"/>
          <w:sz w:val="28"/>
          <w:szCs w:val="28"/>
        </w:rPr>
        <w:t>.</w:t>
      </w:r>
    </w:p>
    <w:p w14:paraId="60C7F2BA" w14:textId="62634AD1"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Тесно связанным с COMI является понятие "установления" (establishment) в соответствии с статьей 2(10) Регламента 2015/848. Установление определяется как любое место ведения деятельности, где должник осуществляет или осуществлял в течение трёх месяцев, предшествующих запросу об открытии производства, не преходящую экономическую деятельность с наличием человеческих ресурсов и активов. Этот определение является более широким, чем предыдущее понимание, включая не только "материальные товары" (как было в Регламенте 1346/2000), но и просто "активы". Расширение понятия установления позволило открывать вторичные производства в большем количестве случаев, обеспечивая более гибкий подход к защите локальных интересов.</w:t>
      </w:r>
    </w:p>
    <w:p w14:paraId="2FFE828C" w14:textId="392FD7F3" w:rsidR="00F909C0" w:rsidRPr="000D3083" w:rsidRDefault="00F909C0" w:rsidP="005342FB">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Принцип применимого права в Регламенте базируется на концепции lex fori concursus (закона форума, в котором открыто производство). В соответствии с этим принципом, закон государства-члена, в котором открыто основное производство, определяет условия открытия этого производства, его проведение и последствия для должника и его кредиторов. Это правило обеспечивает предсказуемость и единство в применении материального права, однако Регламент устанавливает ряд важных исключений для защиты легитимных ожиданий третьих лиц и обеспечения справедливого обращения. Например, </w:t>
      </w:r>
      <w:r w:rsidRPr="00F909C0">
        <w:rPr>
          <w:rFonts w:ascii="Times New Roman" w:hAnsi="Times New Roman" w:cs="Times New Roman"/>
          <w:sz w:val="28"/>
          <w:szCs w:val="28"/>
        </w:rPr>
        <w:lastRenderedPageBreak/>
        <w:t>статья 7 Регламента предусматривает различные исключения из применения lex fori concursus, касающиеся права собственности на имущество, договорных обязательств и других специфических вопросов.</w:t>
      </w:r>
    </w:p>
    <w:p w14:paraId="51E2FC6A"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Фундаментальный принцип автоматического признания решений об открытии, ведении и закрытии производства закреплён в Регламенте и представляет собой критически важный элемент обеспечения эффективности системы. Суды и органы власти других государств-членов обязаны признавать решения об открытии производства и полномочия назначенного конкурсного управляющего без какого-либо специального разбирательства или условий (res judicata). Это автоматическое признание создаёт универсальный эффект основного производства на территории всего Европейского Союза, что значительно повышает эффективность управления имуществом должника.</w:t>
      </w:r>
    </w:p>
    <w:p w14:paraId="0BFA5A42"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w:t>
      </w:r>
    </w:p>
    <w:p w14:paraId="1E655119" w14:textId="77777777" w:rsidR="00F909C0" w:rsidRPr="00F909C0" w:rsidRDefault="00F909C0" w:rsidP="000A1183">
      <w:pPr>
        <w:pStyle w:val="1"/>
      </w:pPr>
      <w:bookmarkStart w:id="4" w:name="_Toc214298218"/>
      <w:r w:rsidRPr="00F909C0">
        <w:t>ГЛАВА 2. МЕХАНИЗМ ОРГАНИЗАЦИИ И КООРДИНАЦИЯ</w:t>
      </w:r>
      <w:bookmarkEnd w:id="4"/>
    </w:p>
    <w:p w14:paraId="2FE4EB9F" w14:textId="77777777" w:rsidR="00F909C0" w:rsidRPr="00F909C0" w:rsidRDefault="00F909C0" w:rsidP="000A1183">
      <w:pPr>
        <w:pStyle w:val="2"/>
      </w:pPr>
      <w:bookmarkStart w:id="5" w:name="_Toc214298219"/>
      <w:r w:rsidRPr="00F909C0">
        <w:t>2.1 Система основного и вторичного производства</w:t>
      </w:r>
      <w:bookmarkEnd w:id="5"/>
    </w:p>
    <w:p w14:paraId="5A8E3F8C" w14:textId="0A5C6D20"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Система основного (main proceedings) и вторичного (secondary proceedings) производств представляет собой стержневой элемент архитектуры Регламента 2015/848, отражая принцип модифицированного универсализма</w:t>
      </w:r>
      <w:r w:rsidR="00C80285">
        <w:rPr>
          <w:rStyle w:val="af2"/>
          <w:rFonts w:ascii="Times New Roman" w:hAnsi="Times New Roman" w:cs="Times New Roman"/>
          <w:sz w:val="28"/>
          <w:szCs w:val="28"/>
        </w:rPr>
        <w:footnoteReference w:id="6"/>
      </w:r>
      <w:r w:rsidRPr="00F909C0">
        <w:rPr>
          <w:rFonts w:ascii="Times New Roman" w:hAnsi="Times New Roman" w:cs="Times New Roman"/>
          <w:sz w:val="28"/>
          <w:szCs w:val="28"/>
        </w:rPr>
        <w:t>. Основное производство открывается в государстве-члене, где находится центр основных интересов должника, и обладает универсальным эффектом, распространяясь на все активы должника, находящиеся в любом государстве-члене ЕС. Суды, назначенные в основном производстве, обладают исключительной юрисдикцией, и решения, принятые в этом производстве, автоматически признаются во всех других государствах-членах.</w:t>
      </w:r>
    </w:p>
    <w:p w14:paraId="1CAE8D99" w14:textId="69147BCD"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Вторичное производство может быть открыто в государстве-члене, где должник имеет "установление" (место ведения экономической деятельности с наличием человеческих ресурсов и активов). В соответствии со статьёй 27 Регламента, вторичное производство по общему правилу должно быть </w:t>
      </w:r>
      <w:r w:rsidRPr="00F909C0">
        <w:rPr>
          <w:rFonts w:ascii="Times New Roman" w:hAnsi="Times New Roman" w:cs="Times New Roman"/>
          <w:sz w:val="28"/>
          <w:szCs w:val="28"/>
        </w:rPr>
        <w:lastRenderedPageBreak/>
        <w:t>ликвидационным, однако Регламент 2015/848 значительно расширил возможности вторичного производства, позволяя открывать не только ликвидационные, но и реорганизационные процедуры в соответствии с национальным законодательством государства-члена, где открывается вторичное производство. Это расширение важно для обеспечения гибкости системы и возможности реструктуризации на локальном уровне при сохранении приоритета основного производства.</w:t>
      </w:r>
    </w:p>
    <w:p w14:paraId="56C1867C" w14:textId="116EEC99"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Исторически вторичные производства критиковались за усложнение процесса управления несостоятельностью и ослабление принципа универсальности. Однако они служат важной функции защиты локальных кредиторов и активов от риска неэквивалентного обращения в условиях значительных различий между национальными законодательствами. Кроме того, вторичные производства позволяют проводить более целевое управление локальными активами в соответствии с требованиями местного законодательства.</w:t>
      </w:r>
    </w:p>
    <w:p w14:paraId="168C10A0" w14:textId="02BE6787"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Взаимоотношение между основным и вторичным производством регулируется рядом правил координации, установленных в статьях 33-37 Регламента 2015/848. Согласно статье 33, конкурсный управляющий в основном производстве теряет право распоряжаться активами, находящимися в государстве-члене, в котором открыто вторичное производство</w:t>
      </w:r>
      <w:r w:rsidR="00C80285">
        <w:rPr>
          <w:rStyle w:val="af2"/>
          <w:rFonts w:ascii="Times New Roman" w:hAnsi="Times New Roman" w:cs="Times New Roman"/>
          <w:sz w:val="28"/>
          <w:szCs w:val="28"/>
        </w:rPr>
        <w:footnoteReference w:id="7"/>
      </w:r>
      <w:r w:rsidRPr="00F909C0">
        <w:rPr>
          <w:rFonts w:ascii="Times New Roman" w:hAnsi="Times New Roman" w:cs="Times New Roman"/>
          <w:sz w:val="28"/>
          <w:szCs w:val="28"/>
        </w:rPr>
        <w:t>. Это ограничение универсального эффекта основного производства обосновывается необходимостью защиты локальных интересов и обеспечения эффективного управления локальными активами. Однако статья 34 устанавливает механизм "обратного закрытия" вторичного производства путём принятия плана спасения, соглашения между кредиторами или иной равноценной меры, предложенной конкурсным управляющим основного производства.</w:t>
      </w:r>
    </w:p>
    <w:p w14:paraId="750A0D52" w14:textId="74E3A778"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Правила о предоставлении предложений конкурсным управляющим основного производства, установленные в статье 31(3) Регламента, </w:t>
      </w:r>
      <w:r w:rsidRPr="00F909C0">
        <w:rPr>
          <w:rFonts w:ascii="Times New Roman" w:hAnsi="Times New Roman" w:cs="Times New Roman"/>
          <w:sz w:val="28"/>
          <w:szCs w:val="28"/>
        </w:rPr>
        <w:lastRenderedPageBreak/>
        <w:t>предусматривают, что конкурсный управляющий вторичного производства должен предоставить конкурсному управляющему основного производства раннюю возможность представления предложений по ликвидации или использованию активов во вторичном производстве. Однако практика показывает, что эти предложения часто игнорируются или недостаточно используются при отсутствии дополнительных юридических механизмов принуждения.</w:t>
      </w:r>
    </w:p>
    <w:p w14:paraId="1DADFFB2"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Определение момента для оценки наличия установления претерпело изменение в ходе реформы. Если в Регламенте 1346/2000 установление оценивалось в момент открытия основного производства, то Регламент 2015/848 предусматривает оценку либо в момент открытия вторичного производства, либо в течение трёхмесячного периода, предшествующего этому моменту. Это изменение имеет практическое значение, позволяя открывать вторичные производства даже в ситуациях, когда установление было закрыто в недавний период, но ещё имеет активы для ликвидации.</w:t>
      </w:r>
    </w:p>
    <w:p w14:paraId="373721B6"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w:t>
      </w:r>
    </w:p>
    <w:p w14:paraId="591518FC" w14:textId="77777777" w:rsidR="00F909C0" w:rsidRPr="00F909C0" w:rsidRDefault="00F909C0" w:rsidP="000A1183">
      <w:pPr>
        <w:pStyle w:val="2"/>
      </w:pPr>
      <w:bookmarkStart w:id="6" w:name="_Toc214298220"/>
      <w:r w:rsidRPr="00F909C0">
        <w:t>2.2 Новые механизмы координации</w:t>
      </w:r>
      <w:bookmarkEnd w:id="6"/>
    </w:p>
    <w:p w14:paraId="196C5B88" w14:textId="77777777"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Одним из наиболее амбициозных нововведений Регламента 2015/848 является введение механизма координации групп компаний, закреплённого в Главе V (статьи 60-77) Регламента. Это нововведение отражает растущее понимание того, что в условиях глобализации экономики многие несостоятельности не затрагивают отдельные независимые компании, а скорее целые группы компаний, входящих в единую экономическую структуру. Процедуры координации групп компаний предназначены для облегчения координированного управления производствами членов группы и разработки скоординированного плана выхода из кризиса.</w:t>
      </w:r>
    </w:p>
    <w:p w14:paraId="3D5899A4" w14:textId="23FA0B5C"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Процедура координации может быть инициирована конкурсным управляющим, назначенным в производстве любого члена группы, путём подачи ходатайства перед судом компетентного государства-члена. Суд должен проанализировать целесообразность открытия координационного производства, </w:t>
      </w:r>
      <w:r w:rsidRPr="00F909C0">
        <w:rPr>
          <w:rFonts w:ascii="Times New Roman" w:hAnsi="Times New Roman" w:cs="Times New Roman"/>
          <w:sz w:val="28"/>
          <w:szCs w:val="28"/>
        </w:rPr>
        <w:lastRenderedPageBreak/>
        <w:t>оценив, будут ли скоординированные действия служить интересам кредиторов в производстве членов группы. Важное уточнение заключается в том, что координационное производство является исключительно добровольным механизмом, основанным на согласии сторон, и не может быть навязано отдельным конкурсным управляющим или государствам-членам.</w:t>
      </w:r>
    </w:p>
    <w:p w14:paraId="3D88B5A7" w14:textId="24B225D9"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Координатор, назначаемый судом в координационном производстве, обладает специфическими полномочиями и функциями. Во-первых, координатор должен выявить и описать рекомендации для скоординированного ведения производств членов группы. Во-вторых, координатор предлагает план координации группы, который определяет описывает и рекомендует набор мер, надлежащих для интегрированного подхода к разрешению банкротства членов группы. Важно отметить, что в соответствии со статьёй 72(3) Регламента, план координации не может включать рекомендации по объединению производств или консолидации имущества членов группы, поскольку это превысило бы полномочия координационного механизма и пошло бы в разрез с принципом независимости каждого члена группы.</w:t>
      </w:r>
    </w:p>
    <w:p w14:paraId="5D28ABC8" w14:textId="2C244033"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Однако на практике механизм координации групп компаний столкнулся с серьёзными трудностями в его использовании. В 2021 году Европейская ассоциация insolvency professionals (CERIL) опубликовала исследование, которое выявило фундаментальную проблему: за четыре года применения Регламента 2015/848 не было открыто ни одного значительного случая применения координационных процедур для групп компаний. Это отсутствие практического применения было описано как "разочаровывающее" и свидетельствовало о необходимости пересмотра механизма</w:t>
      </w:r>
      <w:r w:rsidR="00C80285">
        <w:rPr>
          <w:rStyle w:val="af2"/>
          <w:rFonts w:ascii="Times New Roman" w:hAnsi="Times New Roman" w:cs="Times New Roman"/>
          <w:sz w:val="28"/>
          <w:szCs w:val="28"/>
        </w:rPr>
        <w:footnoteReference w:id="8"/>
      </w:r>
      <w:r w:rsidRPr="00F909C0">
        <w:rPr>
          <w:rFonts w:ascii="Times New Roman" w:hAnsi="Times New Roman" w:cs="Times New Roman"/>
          <w:sz w:val="28"/>
          <w:szCs w:val="28"/>
        </w:rPr>
        <w:t>.</w:t>
      </w:r>
    </w:p>
    <w:p w14:paraId="15CADE04" w14:textId="7354976B"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Причины недостаточного использования координационных процедур, по-видимому, многообразны. Они включают сложность процедуры, требующей сложных согласований между несколькими юрисдикциями и конкурсными управляющими, отсутствие ясности относительно преимуществ координации по </w:t>
      </w:r>
      <w:r w:rsidRPr="00F909C0">
        <w:rPr>
          <w:rFonts w:ascii="Times New Roman" w:hAnsi="Times New Roman" w:cs="Times New Roman"/>
          <w:sz w:val="28"/>
          <w:szCs w:val="28"/>
        </w:rPr>
        <w:lastRenderedPageBreak/>
        <w:t>сравнению с более неформальными соглашениями между управляющими, и культурные различия между различными европейскими правовыми системами, которые затрудняют сотрудничество. Требования к назначению и независимости координатора, а также бюрократические процедуры открытия координационных производств могут быть избыточными для многих практических ситуаций, в которых управляющие предпочитают разработать неформальные протоколы сотрудничества.</w:t>
      </w:r>
    </w:p>
    <w:p w14:paraId="706F389C" w14:textId="29F261A2"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Параллельно с координацией групп компаний Регламент 2015/848 существенно расширил общие обязательства по сотрудничеству и обмену информацией между конкурсными управляющими и судами. В то время как Регламент 1346/2000 содержал только одну статью, посвящённую сотрудничеству (статья 31), новый Регламент включает несколько статей (41-44), регулирующих различные аспекты сотрудничества. Статья 41 предусматривает обязанность конкурсных управляющих сотрудничать и обмениваться информацией, статья 42 требует сотрудничества и обмена информацией между судами, статья 43 регулирует сотрудничество между управляющими и судами, а статья 44 предусматривает правила финансирования расходов на сотрудничество.</w:t>
      </w:r>
    </w:p>
    <w:p w14:paraId="049331B4" w14:textId="127AF1A2"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Развитие прямого взаимодействия между судами (court-to-court cooperation) представляет собой значительный прогресс в европейской системе. В 2014 году были приняты "Принципы судебного сотрудничества при трансграничной несостоятельности ЕС" (EU JudgeCo Principles), которые предусматривают возможность судов напрямую общаться с целью координации производств, обмена информацией и согласования процедурных вопросов</w:t>
      </w:r>
      <w:r w:rsidR="00C80285">
        <w:rPr>
          <w:rStyle w:val="af2"/>
          <w:rFonts w:ascii="Times New Roman" w:hAnsi="Times New Roman" w:cs="Times New Roman"/>
          <w:sz w:val="28"/>
          <w:szCs w:val="28"/>
        </w:rPr>
        <w:footnoteReference w:id="9"/>
      </w:r>
      <w:r w:rsidRPr="00F909C0">
        <w:rPr>
          <w:rFonts w:ascii="Times New Roman" w:hAnsi="Times New Roman" w:cs="Times New Roman"/>
          <w:sz w:val="28"/>
          <w:szCs w:val="28"/>
        </w:rPr>
        <w:t xml:space="preserve">. Это развитие отражает влияние общей правовой традиции, где судебное сотрудничество и взаимодействие являются более привычной практикой, и </w:t>
      </w:r>
      <w:r w:rsidRPr="00F909C0">
        <w:rPr>
          <w:rFonts w:ascii="Times New Roman" w:hAnsi="Times New Roman" w:cs="Times New Roman"/>
          <w:sz w:val="28"/>
          <w:szCs w:val="28"/>
        </w:rPr>
        <w:lastRenderedPageBreak/>
        <w:t>стремление преодолеть культурные различия между романо-германской и англосаксонской правовыми системами.</w:t>
      </w:r>
    </w:p>
    <w:p w14:paraId="2B03EC2C" w14:textId="78E3EE51"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Важным нововведением Регламента 2015/848 является требование о создании взаимосвязанных регистров несостоятельности в соответствии со статьей 25. Согласно этой статье, каждое государство-член должно поддерживать электронный регистр, содержащий информацию о производствах по несостоятельности, и эти регистры должны быть взаимосвязаны через портал электронного правосудия ЕС (e-Justice Portal). Система взаимосвязанных регистров (IRI 2.0) была запущена с сентября 2021 года и позволяет заинтересованным лицам и судам выполнять поиск по всем регистрам государств-членов одновременно. Это развитие значительно облегчает выявление параллельных производств и предотвращение forum shopping, обеспечивая глобальную видимость трансграничных производств по несостоятельности.</w:t>
      </w:r>
    </w:p>
    <w:p w14:paraId="2BB06F37" w14:textId="5603FD96" w:rsidR="00F909C0" w:rsidRPr="00F909C0" w:rsidRDefault="00F909C0" w:rsidP="00D21548">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Регламент 2015/848 также отражает расширение сферы применения на новые категории процедур. Если Регламент 1346/2000 применялся только к производствам, которые были явно определены как производства по несостоятельности в Приложении A, то новый Регламент распространил своё действие на процедуры, предоставляющие возможность реорганизации должника на ранней стадии его финансовых затруднений, а также на процедуры, включающие временное приостановление исковых действий отдельных кредиторов с целью разрешить должнику договориться с кредиторами. Это расширение интегрирует в систему новые подходы к управлению финансовыми затруднениями, в том числе так называемые "pre-insolvency" процедуры, которые позволяют должнику действовать до наступления полной юридической несостоятельности.</w:t>
      </w:r>
    </w:p>
    <w:p w14:paraId="2AA76D4B" w14:textId="0A10216A" w:rsidR="00F909C0" w:rsidRPr="00F909C0" w:rsidRDefault="00F909C0" w:rsidP="00F909C0">
      <w:pPr>
        <w:spacing w:after="0" w:line="360" w:lineRule="auto"/>
        <w:ind w:firstLine="709"/>
        <w:jc w:val="both"/>
        <w:rPr>
          <w:rFonts w:ascii="Times New Roman" w:hAnsi="Times New Roman" w:cs="Times New Roman"/>
          <w:sz w:val="28"/>
          <w:szCs w:val="28"/>
        </w:rPr>
      </w:pPr>
      <w:r w:rsidRPr="00F909C0">
        <w:rPr>
          <w:rFonts w:ascii="Times New Roman" w:hAnsi="Times New Roman" w:cs="Times New Roman"/>
          <w:sz w:val="28"/>
          <w:szCs w:val="28"/>
        </w:rPr>
        <w:t xml:space="preserve">Новые подходы, введённые Регламентом 2015/848 и дополненные Директивой 2019/1023, направлены на создание более благоприятной культуры спасения жизнеспособных предприятий и переориентацию системы с традиционного ударения на ликвидацию активов на новый акцент на </w:t>
      </w:r>
      <w:r w:rsidRPr="00F909C0">
        <w:rPr>
          <w:rFonts w:ascii="Times New Roman" w:hAnsi="Times New Roman" w:cs="Times New Roman"/>
          <w:sz w:val="28"/>
          <w:szCs w:val="28"/>
        </w:rPr>
        <w:lastRenderedPageBreak/>
        <w:t>реструктуризацию и восстановление. Это отражает признание того, что сохранение работающего предприятия часто приносит большую ценность кредиторам и обществу в целом, чем чистая ликвидация активов. Однако успешная реализация этого подхода требует не только нормативного переоформления, но и культурных и практических изменений в способе мышления судей, управляющих и кредиторов о цели и механизмах несостоятельности.</w:t>
      </w:r>
    </w:p>
    <w:p w14:paraId="7C13782D" w14:textId="7418A7B1" w:rsidR="00134C81" w:rsidRDefault="00134C81" w:rsidP="00F909C0">
      <w:pPr>
        <w:spacing w:after="0" w:line="360" w:lineRule="auto"/>
        <w:ind w:firstLine="709"/>
        <w:jc w:val="both"/>
        <w:rPr>
          <w:rFonts w:ascii="Times New Roman" w:hAnsi="Times New Roman" w:cs="Times New Roman"/>
          <w:sz w:val="28"/>
          <w:szCs w:val="28"/>
        </w:rPr>
      </w:pPr>
    </w:p>
    <w:p w14:paraId="0EC0D2CC" w14:textId="01495DB1" w:rsidR="00AB3643" w:rsidRDefault="00AB3643" w:rsidP="00F909C0">
      <w:pPr>
        <w:spacing w:after="0" w:line="360" w:lineRule="auto"/>
        <w:ind w:firstLine="709"/>
        <w:jc w:val="both"/>
        <w:rPr>
          <w:rFonts w:ascii="Times New Roman" w:hAnsi="Times New Roman" w:cs="Times New Roman"/>
          <w:sz w:val="28"/>
          <w:szCs w:val="28"/>
        </w:rPr>
      </w:pPr>
    </w:p>
    <w:p w14:paraId="769C1116" w14:textId="77777777" w:rsidR="00AB3643" w:rsidRDefault="00AB3643">
      <w:pPr>
        <w:rPr>
          <w:rFonts w:ascii="Times New Roman" w:hAnsi="Times New Roman" w:cs="Times New Roman"/>
          <w:sz w:val="28"/>
          <w:szCs w:val="28"/>
        </w:rPr>
      </w:pPr>
      <w:r>
        <w:rPr>
          <w:rFonts w:ascii="Times New Roman" w:hAnsi="Times New Roman" w:cs="Times New Roman"/>
          <w:sz w:val="28"/>
          <w:szCs w:val="28"/>
        </w:rPr>
        <w:br w:type="page"/>
      </w:r>
    </w:p>
    <w:p w14:paraId="079BDBBC" w14:textId="7FF9DE4A" w:rsidR="00AB3643" w:rsidRDefault="00AB3643" w:rsidP="00AB3643">
      <w:pPr>
        <w:pStyle w:val="1"/>
      </w:pPr>
      <w:bookmarkStart w:id="7" w:name="_Toc214298221"/>
      <w:r>
        <w:lastRenderedPageBreak/>
        <w:t>Заключение</w:t>
      </w:r>
      <w:bookmarkEnd w:id="7"/>
    </w:p>
    <w:p w14:paraId="2D0A3E85"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Проведённое исследование европейской модели регулирования трансграничной несостоятельности позволяет сформулировать следующие выводы.</w:t>
      </w:r>
    </w:p>
    <w:p w14:paraId="7D0D3A12"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Европейское законодательство о трансграничной несостоятельности прошло длительный путь эволюции от первых попыток координации в рамках Скандинавской конвенции 1933 года до принятия современного Регламента 2015/848. Ключевым этапом стало принятие Регламента 1346/2000, который впервые установил единые коллизионные нормы без попыток унификации материального права государств-членов. Последующая модернизация системы отразила накопленный опыт применения и потребности интегрирующегося европейского рынка.</w:t>
      </w:r>
    </w:p>
    <w:p w14:paraId="7F79C8DC"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Концептуальной основой европейской модели является принцип модифицированного универсализма, который представляет собой компромисс между классическими подходами универсализма и территориализма. Центральное место в этой системе занимает концепция центра основных интересов должника (COMI), определяющая международную подсудность для открытия основного производства. Система дополняется понятием установления, позволяющим открывать вторичные производства для защиты локальных интересов.</w:t>
      </w:r>
    </w:p>
    <w:p w14:paraId="7E1B97BB"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Архитектура основного и вторичного производств образует стержень регулирования, обеспечивая универсальный эффект основного производства при сохранении возможности локального управления активами через вторичные производства. Регламент 2015/848 значительно расширил возможности вторичных производств, включив реорганизационные процедуры, что повысило гибкость системы.</w:t>
      </w:r>
    </w:p>
    <w:p w14:paraId="0398CBDC"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 xml:space="preserve">Существенным нововведением стало введение механизма координации групп компаний, отражающего реалии современной глобализированной экономики. Однако практика применения выявила серьёзные недостатки этого механизма: за четыре года не было зафиксировано ни одного значительного </w:t>
      </w:r>
      <w:r w:rsidRPr="0004501C">
        <w:rPr>
          <w:rFonts w:ascii="Times New Roman" w:hAnsi="Times New Roman" w:cs="Times New Roman"/>
          <w:sz w:val="28"/>
          <w:szCs w:val="28"/>
        </w:rPr>
        <w:lastRenderedPageBreak/>
        <w:t>случая его использования, что свидетельствует о необходимости дальнейшего совершенствования.</w:t>
      </w:r>
    </w:p>
    <w:p w14:paraId="17D17231"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Регламент 2015/848 значительно усилил требования к сотрудничеству и обмену информацией между конкурсными управляющими и судами различных юрисдикций. Введение взаимосвязанных регистров несостоятельности через портал электронного правосудия ЕС повысило прозрачность системы и облегчило выявление параллельных производств.</w:t>
      </w:r>
    </w:p>
    <w:p w14:paraId="59168F47"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Современная европейская модель демонстрирует переход от традиционного акцента на ликвидации активов к приоритету реструктуризации и спасения жизнеспособных предприятий. Это отражено как в расширении сферы применения Регламента на досудебные процедуры, так и в принятии Директивы 2019/1023 о превентивных процедурах реструктуризации.</w:t>
      </w:r>
    </w:p>
    <w:p w14:paraId="51836997"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Вместе с тем, эффективность европейской модели во многом зависит не только от совершенства нормативного регулирования, но и от готовности практикующих юристов, судей и конкурсных управляющих к активному сотрудничеству в условиях различий между национальными правовыми системами и культурами.</w:t>
      </w:r>
    </w:p>
    <w:p w14:paraId="397694AE" w14:textId="77777777" w:rsidR="0004501C" w:rsidRPr="0004501C" w:rsidRDefault="0004501C" w:rsidP="0004501C">
      <w:pPr>
        <w:spacing w:after="0" w:line="360" w:lineRule="auto"/>
        <w:ind w:firstLine="709"/>
        <w:jc w:val="both"/>
        <w:rPr>
          <w:rFonts w:ascii="Times New Roman" w:hAnsi="Times New Roman" w:cs="Times New Roman"/>
          <w:sz w:val="28"/>
          <w:szCs w:val="28"/>
        </w:rPr>
      </w:pPr>
      <w:r w:rsidRPr="0004501C">
        <w:rPr>
          <w:rFonts w:ascii="Times New Roman" w:hAnsi="Times New Roman" w:cs="Times New Roman"/>
          <w:sz w:val="28"/>
          <w:szCs w:val="28"/>
        </w:rPr>
        <w:t>Таким образом, европейская модель регулирования трансграничной несостоятельности представляет собой сложную и динамично развивающуюся систему, которая стремится обеспечить баланс между эффективностью управления активами должника и защитой интересов локальных кредиторов в условиях глубокой экономической интеграции.</w:t>
      </w:r>
    </w:p>
    <w:p w14:paraId="02AF40D7" w14:textId="77777777" w:rsidR="00AB3643" w:rsidRPr="000D3083" w:rsidRDefault="00AB3643" w:rsidP="00AB3643">
      <w:pPr>
        <w:rPr>
          <w:rFonts w:ascii="Times New Roman" w:hAnsi="Times New Roman" w:cs="Times New Roman"/>
          <w:sz w:val="28"/>
          <w:szCs w:val="28"/>
        </w:rPr>
      </w:pPr>
    </w:p>
    <w:p w14:paraId="6D28F5C4" w14:textId="3B7E04AE" w:rsidR="005342FB" w:rsidRPr="000D3083" w:rsidRDefault="005342FB" w:rsidP="00AB3643">
      <w:pPr>
        <w:rPr>
          <w:rFonts w:ascii="Times New Roman" w:hAnsi="Times New Roman" w:cs="Times New Roman"/>
          <w:sz w:val="28"/>
          <w:szCs w:val="28"/>
        </w:rPr>
      </w:pPr>
    </w:p>
    <w:p w14:paraId="6C865476" w14:textId="77777777" w:rsidR="005342FB" w:rsidRPr="000D3083" w:rsidRDefault="005342FB">
      <w:pPr>
        <w:rPr>
          <w:rFonts w:ascii="Times New Roman" w:hAnsi="Times New Roman" w:cs="Times New Roman"/>
          <w:sz w:val="28"/>
          <w:szCs w:val="28"/>
        </w:rPr>
      </w:pPr>
      <w:r w:rsidRPr="000D3083">
        <w:rPr>
          <w:rFonts w:ascii="Times New Roman" w:hAnsi="Times New Roman" w:cs="Times New Roman"/>
          <w:sz w:val="28"/>
          <w:szCs w:val="28"/>
        </w:rPr>
        <w:br w:type="page"/>
      </w:r>
    </w:p>
    <w:p w14:paraId="7F9613AE" w14:textId="35D09CA3" w:rsidR="005342FB" w:rsidRDefault="005342FB" w:rsidP="005342FB">
      <w:pPr>
        <w:pStyle w:val="1"/>
      </w:pPr>
      <w:bookmarkStart w:id="8" w:name="_Toc214298222"/>
      <w:r>
        <w:lastRenderedPageBreak/>
        <w:t>Список литературы</w:t>
      </w:r>
      <w:bookmarkEnd w:id="8"/>
    </w:p>
    <w:p w14:paraId="5B34E1A1" w14:textId="1D314510" w:rsid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Регламент Европейского парламента и Совета Европейского Союза № 2015/848 от 20 мая 2015 г. о процедурах банкротства (новая редакция) // </w:t>
      </w:r>
      <w:r w:rsidRPr="00C80285">
        <w:rPr>
          <w:rFonts w:ascii="Times New Roman" w:hAnsi="Times New Roman" w:cs="Times New Roman"/>
          <w:i/>
          <w:iCs/>
          <w:sz w:val="28"/>
          <w:szCs w:val="28"/>
        </w:rPr>
        <w:t>Официальный журнал Европейского союза</w:t>
      </w:r>
      <w:r w:rsidRPr="00C80285">
        <w:rPr>
          <w:rFonts w:ascii="Times New Roman" w:hAnsi="Times New Roman" w:cs="Times New Roman"/>
          <w:sz w:val="28"/>
          <w:szCs w:val="28"/>
        </w:rPr>
        <w:t>. 2015. № L 141. С. 19–72.</w:t>
      </w:r>
    </w:p>
    <w:p w14:paraId="4F5FF255" w14:textId="61879EC7" w:rsidR="000D3083" w:rsidRPr="000D3083" w:rsidRDefault="000D3083" w:rsidP="000D3083">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Регламент Совета Европейского Союза № 1346/2000 от 29 мая 2000 г. о процедурах банкротства (утратил силу) // </w:t>
      </w:r>
      <w:r w:rsidRPr="00C80285">
        <w:rPr>
          <w:rFonts w:ascii="Times New Roman" w:hAnsi="Times New Roman" w:cs="Times New Roman"/>
          <w:i/>
          <w:iCs/>
          <w:sz w:val="28"/>
          <w:szCs w:val="28"/>
        </w:rPr>
        <w:t>Официальный журнал Европейских сообществ</w:t>
      </w:r>
      <w:r w:rsidRPr="00C80285">
        <w:rPr>
          <w:rFonts w:ascii="Times New Roman" w:hAnsi="Times New Roman" w:cs="Times New Roman"/>
          <w:sz w:val="28"/>
          <w:szCs w:val="28"/>
        </w:rPr>
        <w:t>. 2000. № L 160. С. 1–18.</w:t>
      </w:r>
    </w:p>
    <w:p w14:paraId="16C0C7E4" w14:textId="6D0D21BC"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Директива Европейского парламента и Совета Европейского Союза (ЕС) № 2019/1023 от 20 июня 2019 г. об основах превентивной реструктуризации, погашении задолженности и дисквалификациях… // </w:t>
      </w:r>
      <w:r w:rsidRPr="00C80285">
        <w:rPr>
          <w:rFonts w:ascii="Times New Roman" w:hAnsi="Times New Roman" w:cs="Times New Roman"/>
          <w:i/>
          <w:iCs/>
          <w:sz w:val="28"/>
          <w:szCs w:val="28"/>
        </w:rPr>
        <w:t>Официальный журнал Европейского союза</w:t>
      </w:r>
      <w:r w:rsidRPr="00C80285">
        <w:rPr>
          <w:rFonts w:ascii="Times New Roman" w:hAnsi="Times New Roman" w:cs="Times New Roman"/>
          <w:sz w:val="28"/>
          <w:szCs w:val="28"/>
        </w:rPr>
        <w:t>. 2019. № L 172. С. 18–55.</w:t>
      </w:r>
    </w:p>
    <w:p w14:paraId="65F9304B" w14:textId="5C9223FD" w:rsidR="00C80285" w:rsidRPr="000D3083"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lang w:val="en-US"/>
        </w:rPr>
      </w:pPr>
      <w:r w:rsidRPr="00C80285">
        <w:rPr>
          <w:rFonts w:ascii="Times New Roman" w:hAnsi="Times New Roman" w:cs="Times New Roman"/>
          <w:sz w:val="28"/>
          <w:szCs w:val="28"/>
          <w:lang w:val="en-US"/>
        </w:rPr>
        <w:t xml:space="preserve">Judgment of the Court (Eighth Chamber) of 19 September 2024, </w:t>
      </w:r>
      <w:r w:rsidRPr="00C80285">
        <w:rPr>
          <w:rFonts w:ascii="Times New Roman" w:hAnsi="Times New Roman" w:cs="Times New Roman"/>
          <w:i/>
          <w:iCs/>
          <w:sz w:val="28"/>
          <w:szCs w:val="28"/>
          <w:lang w:val="en-US"/>
        </w:rPr>
        <w:t>DL v Land Berlin</w:t>
      </w:r>
      <w:r w:rsidRPr="00C80285">
        <w:rPr>
          <w:rFonts w:ascii="Times New Roman" w:hAnsi="Times New Roman" w:cs="Times New Roman"/>
          <w:sz w:val="28"/>
          <w:szCs w:val="28"/>
          <w:lang w:val="en-US"/>
        </w:rPr>
        <w:t xml:space="preserve">, Case C-501/23 // </w:t>
      </w:r>
      <w:r w:rsidRPr="00C80285">
        <w:rPr>
          <w:rFonts w:ascii="Times New Roman" w:hAnsi="Times New Roman" w:cs="Times New Roman"/>
          <w:i/>
          <w:iCs/>
          <w:sz w:val="28"/>
          <w:szCs w:val="28"/>
          <w:lang w:val="en-US"/>
        </w:rPr>
        <w:t>European Court Reports</w:t>
      </w:r>
      <w:r w:rsidRPr="00C80285">
        <w:rPr>
          <w:rFonts w:ascii="Times New Roman" w:hAnsi="Times New Roman" w:cs="Times New Roman"/>
          <w:sz w:val="28"/>
          <w:szCs w:val="28"/>
          <w:lang w:val="en-US"/>
        </w:rPr>
        <w:t xml:space="preserve">. </w:t>
      </w:r>
      <w:r w:rsidRPr="000D3083">
        <w:rPr>
          <w:rFonts w:ascii="Times New Roman" w:hAnsi="Times New Roman" w:cs="Times New Roman"/>
          <w:sz w:val="28"/>
          <w:szCs w:val="28"/>
          <w:lang w:val="en-US"/>
        </w:rPr>
        <w:t>2024.</w:t>
      </w:r>
    </w:p>
    <w:p w14:paraId="7856E388" w14:textId="7EC70735" w:rsidR="000D3083" w:rsidRPr="00C80285" w:rsidRDefault="000D3083"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0D3083">
        <w:rPr>
          <w:rFonts w:ascii="Times New Roman" w:hAnsi="Times New Roman" w:cs="Times New Roman"/>
          <w:sz w:val="28"/>
          <w:szCs w:val="28"/>
        </w:rPr>
        <w:t>Астапенко И. В., Мазаева Н. Н. Специальная законодательная процедура в праве Европейского союза: сферы регулирования и специфика межинституционального взаимодействия //Юридический вестник Самарского университета Juridical Journal of Samara University. – 2021. – Т. 7. – №. 2. – С. 83-95.</w:t>
      </w:r>
      <w:r>
        <w:rPr>
          <w:rFonts w:ascii="Times New Roman" w:hAnsi="Times New Roman" w:cs="Times New Roman"/>
          <w:sz w:val="28"/>
          <w:szCs w:val="28"/>
        </w:rPr>
        <w:t xml:space="preserve"> </w:t>
      </w:r>
    </w:p>
    <w:p w14:paraId="66B0029E"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Афанасьева А. В., и др. Культурные туристские маршруты как механизм геополитической интеграции // </w:t>
      </w:r>
      <w:r w:rsidRPr="00C80285">
        <w:rPr>
          <w:rFonts w:ascii="Times New Roman" w:hAnsi="Times New Roman" w:cs="Times New Roman"/>
          <w:i/>
          <w:iCs/>
          <w:sz w:val="28"/>
          <w:szCs w:val="28"/>
        </w:rPr>
        <w:t>Современные проблемы сервиса и туризма</w:t>
      </w:r>
      <w:r w:rsidRPr="00C80285">
        <w:rPr>
          <w:rFonts w:ascii="Times New Roman" w:hAnsi="Times New Roman" w:cs="Times New Roman"/>
          <w:sz w:val="28"/>
          <w:szCs w:val="28"/>
        </w:rPr>
        <w:t>. 2022. Т. 16. № 1. С. 113–136.</w:t>
      </w:r>
    </w:p>
    <w:p w14:paraId="09615D30"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Зинуров А. З. Банкротство физических лиц при наличии трансграничного элемента: опыт зарубежных стран // </w:t>
      </w:r>
      <w:r w:rsidRPr="00C80285">
        <w:rPr>
          <w:rFonts w:ascii="Times New Roman" w:hAnsi="Times New Roman" w:cs="Times New Roman"/>
          <w:i/>
          <w:iCs/>
          <w:sz w:val="28"/>
          <w:szCs w:val="28"/>
        </w:rPr>
        <w:t>Право и управление</w:t>
      </w:r>
      <w:r w:rsidRPr="00C80285">
        <w:rPr>
          <w:rFonts w:ascii="Times New Roman" w:hAnsi="Times New Roman" w:cs="Times New Roman"/>
          <w:sz w:val="28"/>
          <w:szCs w:val="28"/>
        </w:rPr>
        <w:t>. 2024. № 5. С. 91–95.</w:t>
      </w:r>
    </w:p>
    <w:p w14:paraId="7740C297"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rPr>
      </w:pPr>
      <w:r w:rsidRPr="00C80285">
        <w:rPr>
          <w:rFonts w:ascii="Times New Roman" w:hAnsi="Times New Roman" w:cs="Times New Roman"/>
          <w:sz w:val="28"/>
          <w:szCs w:val="28"/>
        </w:rPr>
        <w:t xml:space="preserve">Кириленко В. П., Павлова Е. В. Регулирование трансграничной несостоятельности в праве ЕАЭС // </w:t>
      </w:r>
      <w:r w:rsidRPr="00C80285">
        <w:rPr>
          <w:rFonts w:ascii="Times New Roman" w:hAnsi="Times New Roman" w:cs="Times New Roman"/>
          <w:i/>
          <w:iCs/>
          <w:sz w:val="28"/>
          <w:szCs w:val="28"/>
        </w:rPr>
        <w:t>Евразийская интеграция: экономика, право, политика</w:t>
      </w:r>
      <w:r w:rsidRPr="00C80285">
        <w:rPr>
          <w:rFonts w:ascii="Times New Roman" w:hAnsi="Times New Roman" w:cs="Times New Roman"/>
          <w:sz w:val="28"/>
          <w:szCs w:val="28"/>
        </w:rPr>
        <w:t>. 2023. Т. 17. № 2(44). С. 111–120.</w:t>
      </w:r>
    </w:p>
    <w:p w14:paraId="0A7617FD"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lang w:val="en-US"/>
        </w:rPr>
      </w:pPr>
      <w:r w:rsidRPr="00C80285">
        <w:rPr>
          <w:rFonts w:ascii="Times New Roman" w:hAnsi="Times New Roman" w:cs="Times New Roman"/>
          <w:sz w:val="28"/>
          <w:szCs w:val="28"/>
        </w:rPr>
        <w:t xml:space="preserve">Мовсесян К. Г. Центр основных интересов должника в трансграничном банкротстве // </w:t>
      </w:r>
      <w:r w:rsidRPr="00C80285">
        <w:rPr>
          <w:rFonts w:ascii="Times New Roman" w:hAnsi="Times New Roman" w:cs="Times New Roman"/>
          <w:i/>
          <w:iCs/>
          <w:sz w:val="28"/>
          <w:szCs w:val="28"/>
        </w:rPr>
        <w:t>Вопросы российской юстиции</w:t>
      </w:r>
      <w:r w:rsidRPr="00C80285">
        <w:rPr>
          <w:rFonts w:ascii="Times New Roman" w:hAnsi="Times New Roman" w:cs="Times New Roman"/>
          <w:sz w:val="28"/>
          <w:szCs w:val="28"/>
        </w:rPr>
        <w:t xml:space="preserve">. 2021. </w:t>
      </w:r>
      <w:r w:rsidRPr="00C80285">
        <w:rPr>
          <w:rFonts w:ascii="Times New Roman" w:hAnsi="Times New Roman" w:cs="Times New Roman"/>
          <w:sz w:val="28"/>
          <w:szCs w:val="28"/>
          <w:lang w:val="en-US"/>
        </w:rPr>
        <w:t xml:space="preserve">№ 11. URL: </w:t>
      </w:r>
      <w:hyperlink r:id="rId8" w:tgtFrame="_new" w:history="1">
        <w:r w:rsidRPr="00C80285">
          <w:rPr>
            <w:rStyle w:val="af4"/>
            <w:rFonts w:ascii="Times New Roman" w:hAnsi="Times New Roman" w:cs="Times New Roman"/>
            <w:sz w:val="28"/>
            <w:szCs w:val="28"/>
            <w:lang w:val="en-US"/>
          </w:rPr>
          <w:t>https://cyberleninka.ru/article/n/tsentr-osnovnyh-interesov-dolzhnika-v-transgranichnom-bankrotstve</w:t>
        </w:r>
      </w:hyperlink>
    </w:p>
    <w:p w14:paraId="6F830592" w14:textId="77777777" w:rsidR="00C80285" w:rsidRPr="00C80285" w:rsidRDefault="00C80285" w:rsidP="00C80285">
      <w:pPr>
        <w:pStyle w:val="a7"/>
        <w:numPr>
          <w:ilvl w:val="0"/>
          <w:numId w:val="9"/>
        </w:numPr>
        <w:spacing w:after="0" w:line="360" w:lineRule="auto"/>
        <w:ind w:left="0" w:firstLine="680"/>
        <w:contextualSpacing w:val="0"/>
        <w:jc w:val="both"/>
        <w:rPr>
          <w:rFonts w:ascii="Times New Roman" w:hAnsi="Times New Roman" w:cs="Times New Roman"/>
          <w:sz w:val="28"/>
          <w:szCs w:val="28"/>
          <w:lang w:val="en-US"/>
        </w:rPr>
      </w:pPr>
      <w:r w:rsidRPr="00C80285">
        <w:rPr>
          <w:rFonts w:ascii="Times New Roman" w:hAnsi="Times New Roman" w:cs="Times New Roman"/>
          <w:sz w:val="28"/>
          <w:szCs w:val="28"/>
        </w:rPr>
        <w:t xml:space="preserve">Скопцова Е. И. Международные модели правового регулирования трансграничной несостоятельности: на пути к формированию российского подхода // </w:t>
      </w:r>
      <w:r w:rsidRPr="00C80285">
        <w:rPr>
          <w:rFonts w:ascii="Times New Roman" w:hAnsi="Times New Roman" w:cs="Times New Roman"/>
          <w:i/>
          <w:iCs/>
          <w:sz w:val="28"/>
          <w:szCs w:val="28"/>
        </w:rPr>
        <w:t>Современные вопросы устойчивого развития общества в эпоху трансформационных процессов</w:t>
      </w:r>
      <w:r w:rsidRPr="00C80285">
        <w:rPr>
          <w:rFonts w:ascii="Times New Roman" w:hAnsi="Times New Roman" w:cs="Times New Roman"/>
          <w:sz w:val="28"/>
          <w:szCs w:val="28"/>
        </w:rPr>
        <w:t xml:space="preserve">. </w:t>
      </w:r>
      <w:r w:rsidRPr="00C80285">
        <w:rPr>
          <w:rFonts w:ascii="Times New Roman" w:hAnsi="Times New Roman" w:cs="Times New Roman"/>
          <w:sz w:val="28"/>
          <w:szCs w:val="28"/>
          <w:lang w:val="en-US"/>
        </w:rPr>
        <w:t xml:space="preserve">2022. </w:t>
      </w:r>
      <w:r w:rsidRPr="00C80285">
        <w:rPr>
          <w:rFonts w:ascii="Times New Roman" w:hAnsi="Times New Roman" w:cs="Times New Roman"/>
          <w:sz w:val="28"/>
          <w:szCs w:val="28"/>
        </w:rPr>
        <w:t>С</w:t>
      </w:r>
      <w:r w:rsidRPr="00C80285">
        <w:rPr>
          <w:rFonts w:ascii="Times New Roman" w:hAnsi="Times New Roman" w:cs="Times New Roman"/>
          <w:sz w:val="28"/>
          <w:szCs w:val="28"/>
          <w:lang w:val="en-US"/>
        </w:rPr>
        <w:t>. 19–29.</w:t>
      </w:r>
    </w:p>
    <w:p w14:paraId="42A9CD72" w14:textId="77777777" w:rsidR="00C80285" w:rsidRPr="000D3083" w:rsidRDefault="00C80285" w:rsidP="000D3083"/>
    <w:p w14:paraId="4E3D5F55" w14:textId="738271C9" w:rsidR="00FC5DD8" w:rsidRPr="00C80285" w:rsidRDefault="00FC5DD8" w:rsidP="005342FB">
      <w:pPr>
        <w:rPr>
          <w:lang w:val="en-US"/>
        </w:rPr>
      </w:pPr>
    </w:p>
    <w:sectPr w:rsidR="00FC5DD8" w:rsidRPr="00C80285" w:rsidSect="00B9418E">
      <w:footerReference w:type="default" r:id="rId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13DE9" w14:textId="77777777" w:rsidR="003509AA" w:rsidRDefault="003509AA" w:rsidP="00A60A25">
      <w:pPr>
        <w:spacing w:after="0" w:line="240" w:lineRule="auto"/>
      </w:pPr>
      <w:r>
        <w:separator/>
      </w:r>
    </w:p>
  </w:endnote>
  <w:endnote w:type="continuationSeparator" w:id="0">
    <w:p w14:paraId="5ABAEC69" w14:textId="77777777" w:rsidR="003509AA" w:rsidRDefault="003509AA" w:rsidP="00A60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045678"/>
      <w:docPartObj>
        <w:docPartGallery w:val="Page Numbers (Bottom of Page)"/>
        <w:docPartUnique/>
      </w:docPartObj>
    </w:sdtPr>
    <w:sdtContent>
      <w:p w14:paraId="0BCCD08F" w14:textId="3B04A14F" w:rsidR="00A60A25" w:rsidRDefault="00A60A25">
        <w:pPr>
          <w:pStyle w:val="ae"/>
          <w:jc w:val="center"/>
        </w:pPr>
        <w:r>
          <w:fldChar w:fldCharType="begin"/>
        </w:r>
        <w:r>
          <w:instrText>PAGE   \* MERGEFORMAT</w:instrText>
        </w:r>
        <w:r>
          <w:fldChar w:fldCharType="separate"/>
        </w:r>
        <w:r>
          <w:t>2</w:t>
        </w:r>
        <w:r>
          <w:fldChar w:fldCharType="end"/>
        </w:r>
      </w:p>
    </w:sdtContent>
  </w:sdt>
  <w:p w14:paraId="5EF6D5CA" w14:textId="77777777" w:rsidR="00A60A25" w:rsidRDefault="00A60A2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D3AA2" w14:textId="77777777" w:rsidR="003509AA" w:rsidRDefault="003509AA" w:rsidP="00A60A25">
      <w:pPr>
        <w:spacing w:after="0" w:line="240" w:lineRule="auto"/>
      </w:pPr>
      <w:r>
        <w:separator/>
      </w:r>
    </w:p>
  </w:footnote>
  <w:footnote w:type="continuationSeparator" w:id="0">
    <w:p w14:paraId="39B9F0F5" w14:textId="77777777" w:rsidR="003509AA" w:rsidRDefault="003509AA" w:rsidP="00A60A25">
      <w:pPr>
        <w:spacing w:after="0" w:line="240" w:lineRule="auto"/>
      </w:pPr>
      <w:r>
        <w:continuationSeparator/>
      </w:r>
    </w:p>
  </w:footnote>
  <w:footnote w:id="1">
    <w:p w14:paraId="46BC4544" w14:textId="59BE5E1B" w:rsidR="00FC5DD8" w:rsidRDefault="00FC5DD8">
      <w:pPr>
        <w:pStyle w:val="af0"/>
      </w:pPr>
      <w:r>
        <w:rPr>
          <w:rStyle w:val="af2"/>
        </w:rPr>
        <w:footnoteRef/>
      </w:r>
      <w:r>
        <w:t xml:space="preserve"> </w:t>
      </w:r>
      <w:r w:rsidRPr="00FC5DD8">
        <w:t>Регламент Совета Европейского Союза № 1346/2000 от 29 мая 2000 г. о процедурах банкротства (утратил силу) // Официальный журнал Европейских сообществ. – 2000. – № L 160. – С. 1–18.</w:t>
      </w:r>
    </w:p>
  </w:footnote>
  <w:footnote w:id="2">
    <w:p w14:paraId="3C02D53A" w14:textId="4AA210D1" w:rsidR="00FC5DD8" w:rsidRDefault="00FC5DD8">
      <w:pPr>
        <w:pStyle w:val="af0"/>
      </w:pPr>
      <w:r>
        <w:rPr>
          <w:rStyle w:val="af2"/>
        </w:rPr>
        <w:footnoteRef/>
      </w:r>
      <w:r>
        <w:t xml:space="preserve"> </w:t>
      </w:r>
      <w:r w:rsidRPr="00FC5DD8">
        <w:t>Регламент Европейского парламента и Совета Европейского Союза № 2015/848 от 20 мая 2015 г. о процедурах банкротства (новая редакция) // Официальный журнал Европейского союза. – 2015. – № L 141. – С. 19–72.</w:t>
      </w:r>
    </w:p>
  </w:footnote>
  <w:footnote w:id="3">
    <w:p w14:paraId="49FEE94A" w14:textId="78C91AE7" w:rsidR="00FC5DD8" w:rsidRDefault="00FC5DD8">
      <w:pPr>
        <w:pStyle w:val="af0"/>
      </w:pPr>
      <w:r>
        <w:rPr>
          <w:rStyle w:val="af2"/>
        </w:rPr>
        <w:footnoteRef/>
      </w:r>
      <w:r>
        <w:t xml:space="preserve"> </w:t>
      </w:r>
      <w:r w:rsidRPr="00FC5DD8">
        <w:t>Директива Европейского парламента и Совета Европейского Союза (ЕС) № 2019/1023 от 20 июня 2019 г. об основах превентивной реструктуризации, погашении задолженности и дисквалификациях, о мерах по повышению эффективности процедур, касающихся реструктуризации, несостоятельности и погашения задолженности, а также об изменении Директивы (ЕС) 2017/1132 (Директива о реструктуризации и несостоятельности) // Официальный журнал Европейского союза. – 2019. – № L 172. – С. 18–55.</w:t>
      </w:r>
    </w:p>
  </w:footnote>
  <w:footnote w:id="4">
    <w:p w14:paraId="76E44642" w14:textId="77777777" w:rsidR="00511432" w:rsidRPr="00511432" w:rsidRDefault="00511432" w:rsidP="00511432">
      <w:pPr>
        <w:pStyle w:val="af0"/>
      </w:pPr>
      <w:r>
        <w:rPr>
          <w:rStyle w:val="af2"/>
        </w:rPr>
        <w:footnoteRef/>
      </w:r>
      <w:r>
        <w:t xml:space="preserve"> </w:t>
      </w:r>
      <w:r w:rsidRPr="00511432">
        <w:rPr>
          <w:rFonts w:ascii="Times New Roman" w:hAnsi="Times New Roman" w:cs="Times New Roman"/>
          <w:sz w:val="22"/>
          <w:szCs w:val="22"/>
        </w:rPr>
        <w:t>Мовсесян Карине Горевна ЦЕНТР ОСНОВНЫХ ИНТЕРЕСОВ ДОЛЖНИКА В ТРАНСГРАНИЧНОМ БАНКРОТСТВЕ // Вопросы российской юстиции. 2021. №11. URL: https://cyberleninka.ru/article/n/tsentr-osnovnyh-interesov-dolzhnika-v-transgranichnom-bankrotstve (дата обращения: 17.11.2025).</w:t>
      </w:r>
    </w:p>
    <w:p w14:paraId="50D092D2" w14:textId="2E684298" w:rsidR="00511432" w:rsidRDefault="00511432">
      <w:pPr>
        <w:pStyle w:val="af0"/>
      </w:pPr>
    </w:p>
  </w:footnote>
  <w:footnote w:id="5">
    <w:p w14:paraId="57F6C017" w14:textId="51B4FD39" w:rsidR="00C80285" w:rsidRPr="00C80285" w:rsidRDefault="00C80285">
      <w:pPr>
        <w:pStyle w:val="af0"/>
        <w:rPr>
          <w:lang w:val="en-US"/>
        </w:rPr>
      </w:pPr>
      <w:r>
        <w:rPr>
          <w:rStyle w:val="af2"/>
        </w:rPr>
        <w:footnoteRef/>
      </w:r>
      <w:r w:rsidRPr="00C80285">
        <w:rPr>
          <w:lang w:val="en-US"/>
        </w:rPr>
        <w:t xml:space="preserve"> Judgment of the Court (Eighth Chamber) of 19 September 2024, DL v Land Berlin, Case C-501/23 // European Court Reports. – 2024.</w:t>
      </w:r>
    </w:p>
  </w:footnote>
  <w:footnote w:id="6">
    <w:p w14:paraId="16D32717" w14:textId="71354E3D" w:rsidR="00C80285" w:rsidRDefault="00C80285">
      <w:pPr>
        <w:pStyle w:val="af0"/>
      </w:pPr>
      <w:r>
        <w:rPr>
          <w:rStyle w:val="af2"/>
        </w:rPr>
        <w:footnoteRef/>
      </w:r>
      <w:r>
        <w:t xml:space="preserve"> </w:t>
      </w:r>
      <w:r w:rsidRPr="00C80285">
        <w:t>Зинуров А. З. БАНКРОТСТВО ФИЗИЧЕСКИХ ЛИЦ ПРИ НАЛИЧИИ ТРАНСГРАНИЧНОГО ЭЛЕМЕНТА. ОПЫТ ЗАРУБЕЖНЫХ СТРАН //Право и управление. – 2024. – №. 5. – С. 91-95.</w:t>
      </w:r>
    </w:p>
  </w:footnote>
  <w:footnote w:id="7">
    <w:p w14:paraId="5D9646DC" w14:textId="352B00A6" w:rsidR="00C80285" w:rsidRDefault="00C80285">
      <w:pPr>
        <w:pStyle w:val="af0"/>
      </w:pPr>
      <w:r>
        <w:rPr>
          <w:rStyle w:val="af2"/>
        </w:rPr>
        <w:footnoteRef/>
      </w:r>
      <w:r>
        <w:t xml:space="preserve"> </w:t>
      </w:r>
      <w:r w:rsidRPr="00C80285">
        <w:t>Кириленко В. П., Павлова Е. В. Регулирование трансграничной несостоятельности в праве ЕАЭС //ЕВРАЗИЙСКАЯ ИНТЕГРАЦИЯ: экономика, право, политика. – 2023. – Т. 17. – №. 2 (44). – С. 111-120.</w:t>
      </w:r>
    </w:p>
  </w:footnote>
  <w:footnote w:id="8">
    <w:p w14:paraId="05BFAF89" w14:textId="42CCAA04" w:rsidR="00C80285" w:rsidRDefault="00C80285">
      <w:pPr>
        <w:pStyle w:val="af0"/>
      </w:pPr>
      <w:r>
        <w:rPr>
          <w:rStyle w:val="af2"/>
        </w:rPr>
        <w:footnoteRef/>
      </w:r>
      <w:r>
        <w:t xml:space="preserve"> </w:t>
      </w:r>
      <w:r w:rsidRPr="00C80285">
        <w:t>Афанасьева А. В. и др. Культурные туристские маршруты как механизм геополитической интеграции //Современные проблемы сервиса и туризма. – 2022. – Т. 16. – №. 1. – С. 113-136.</w:t>
      </w:r>
    </w:p>
  </w:footnote>
  <w:footnote w:id="9">
    <w:p w14:paraId="11947CEA" w14:textId="39F8026E" w:rsidR="00C80285" w:rsidRDefault="00C80285">
      <w:pPr>
        <w:pStyle w:val="af0"/>
      </w:pPr>
      <w:r>
        <w:rPr>
          <w:rStyle w:val="af2"/>
        </w:rPr>
        <w:footnoteRef/>
      </w:r>
      <w:r>
        <w:t xml:space="preserve"> </w:t>
      </w:r>
      <w:r w:rsidRPr="00C80285">
        <w:t>Скопцова Е. И. Международные модели правового регулирования трансграничной несостоятельности: на пути к формированию российского подхода к правовому регулированию трансграничной несостоятельности //Современные вопросы устойчивого развития общества в эпоху трансформационных процессов. – 2022. – С. 19-29.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84165"/>
    <w:multiLevelType w:val="multilevel"/>
    <w:tmpl w:val="27B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C1611"/>
    <w:multiLevelType w:val="multilevel"/>
    <w:tmpl w:val="83B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5760"/>
    <w:multiLevelType w:val="multilevel"/>
    <w:tmpl w:val="ADB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D142B"/>
    <w:multiLevelType w:val="multilevel"/>
    <w:tmpl w:val="D126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A4201"/>
    <w:multiLevelType w:val="multilevel"/>
    <w:tmpl w:val="D43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7064C"/>
    <w:multiLevelType w:val="multilevel"/>
    <w:tmpl w:val="A8FA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6162D3"/>
    <w:multiLevelType w:val="multilevel"/>
    <w:tmpl w:val="FDFE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D2B6B"/>
    <w:multiLevelType w:val="multilevel"/>
    <w:tmpl w:val="CE74C6B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7F900E7F"/>
    <w:multiLevelType w:val="hybridMultilevel"/>
    <w:tmpl w:val="B784F4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99145529">
    <w:abstractNumId w:val="2"/>
  </w:num>
  <w:num w:numId="2" w16cid:durableId="186411710">
    <w:abstractNumId w:val="1"/>
  </w:num>
  <w:num w:numId="3" w16cid:durableId="650868546">
    <w:abstractNumId w:val="6"/>
  </w:num>
  <w:num w:numId="4" w16cid:durableId="1165896078">
    <w:abstractNumId w:val="4"/>
  </w:num>
  <w:num w:numId="5" w16cid:durableId="339427998">
    <w:abstractNumId w:val="3"/>
  </w:num>
  <w:num w:numId="6" w16cid:durableId="879783964">
    <w:abstractNumId w:val="5"/>
  </w:num>
  <w:num w:numId="7" w16cid:durableId="68774845">
    <w:abstractNumId w:val="7"/>
  </w:num>
  <w:num w:numId="8" w16cid:durableId="367222433">
    <w:abstractNumId w:val="0"/>
  </w:num>
  <w:num w:numId="9" w16cid:durableId="17133399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A25"/>
    <w:rsid w:val="0004501C"/>
    <w:rsid w:val="000A1183"/>
    <w:rsid w:val="000D3083"/>
    <w:rsid w:val="00134C81"/>
    <w:rsid w:val="002A7E11"/>
    <w:rsid w:val="002D26E2"/>
    <w:rsid w:val="003245D9"/>
    <w:rsid w:val="003509AA"/>
    <w:rsid w:val="004514B5"/>
    <w:rsid w:val="00511432"/>
    <w:rsid w:val="005342FB"/>
    <w:rsid w:val="009C15E0"/>
    <w:rsid w:val="00A15DD4"/>
    <w:rsid w:val="00A60A25"/>
    <w:rsid w:val="00AB3643"/>
    <w:rsid w:val="00B82255"/>
    <w:rsid w:val="00B9418E"/>
    <w:rsid w:val="00C80285"/>
    <w:rsid w:val="00D21548"/>
    <w:rsid w:val="00F217E6"/>
    <w:rsid w:val="00F34B55"/>
    <w:rsid w:val="00F63F2D"/>
    <w:rsid w:val="00F909C0"/>
    <w:rsid w:val="00FC5D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EA24"/>
  <w15:chartTrackingRefBased/>
  <w15:docId w15:val="{F606B237-F0F2-4450-A329-15CAACE58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45D9"/>
    <w:pPr>
      <w:keepNext/>
      <w:keepLines/>
      <w:spacing w:after="0" w:line="360" w:lineRule="auto"/>
      <w:ind w:firstLine="709"/>
      <w:outlineLvl w:val="0"/>
    </w:pPr>
    <w:rPr>
      <w:rFonts w:ascii="Times New Roman" w:eastAsiaTheme="majorEastAsia" w:hAnsi="Times New Roman" w:cstheme="majorBidi"/>
      <w:b/>
      <w:sz w:val="28"/>
      <w:szCs w:val="40"/>
    </w:rPr>
  </w:style>
  <w:style w:type="paragraph" w:styleId="2">
    <w:name w:val="heading 2"/>
    <w:basedOn w:val="a"/>
    <w:next w:val="a"/>
    <w:link w:val="20"/>
    <w:uiPriority w:val="9"/>
    <w:unhideWhenUsed/>
    <w:qFormat/>
    <w:rsid w:val="003245D9"/>
    <w:pPr>
      <w:keepNext/>
      <w:keepLines/>
      <w:spacing w:after="0" w:line="360" w:lineRule="auto"/>
      <w:ind w:firstLine="709"/>
      <w:outlineLvl w:val="1"/>
    </w:pPr>
    <w:rPr>
      <w:rFonts w:ascii="Times New Roman" w:eastAsiaTheme="majorEastAsia" w:hAnsi="Times New Roman" w:cstheme="majorBidi"/>
      <w:b/>
      <w:sz w:val="28"/>
      <w:szCs w:val="32"/>
    </w:rPr>
  </w:style>
  <w:style w:type="paragraph" w:styleId="3">
    <w:name w:val="heading 3"/>
    <w:basedOn w:val="a"/>
    <w:next w:val="a"/>
    <w:link w:val="30"/>
    <w:uiPriority w:val="9"/>
    <w:semiHidden/>
    <w:unhideWhenUsed/>
    <w:qFormat/>
    <w:rsid w:val="00A60A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0A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A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A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A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A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A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45D9"/>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3245D9"/>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A60A2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0A2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0A2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A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A25"/>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A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A25"/>
    <w:rPr>
      <w:rFonts w:eastAsiaTheme="majorEastAsia" w:cstheme="majorBidi"/>
      <w:color w:val="272727" w:themeColor="text1" w:themeTint="D8"/>
    </w:rPr>
  </w:style>
  <w:style w:type="paragraph" w:styleId="a3">
    <w:name w:val="Title"/>
    <w:basedOn w:val="a"/>
    <w:next w:val="a"/>
    <w:link w:val="a4"/>
    <w:uiPriority w:val="10"/>
    <w:qFormat/>
    <w:rsid w:val="00A60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0A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0A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0A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A25"/>
    <w:pPr>
      <w:spacing w:before="160"/>
      <w:jc w:val="center"/>
    </w:pPr>
    <w:rPr>
      <w:i/>
      <w:iCs/>
      <w:color w:val="404040" w:themeColor="text1" w:themeTint="BF"/>
    </w:rPr>
  </w:style>
  <w:style w:type="character" w:customStyle="1" w:styleId="22">
    <w:name w:val="Цитата 2 Знак"/>
    <w:basedOn w:val="a0"/>
    <w:link w:val="21"/>
    <w:uiPriority w:val="29"/>
    <w:rsid w:val="00A60A25"/>
    <w:rPr>
      <w:i/>
      <w:iCs/>
      <w:color w:val="404040" w:themeColor="text1" w:themeTint="BF"/>
    </w:rPr>
  </w:style>
  <w:style w:type="paragraph" w:styleId="a7">
    <w:name w:val="List Paragraph"/>
    <w:basedOn w:val="a"/>
    <w:uiPriority w:val="34"/>
    <w:qFormat/>
    <w:rsid w:val="00A60A25"/>
    <w:pPr>
      <w:ind w:left="720"/>
      <w:contextualSpacing/>
    </w:pPr>
  </w:style>
  <w:style w:type="character" w:styleId="a8">
    <w:name w:val="Intense Emphasis"/>
    <w:basedOn w:val="a0"/>
    <w:uiPriority w:val="21"/>
    <w:qFormat/>
    <w:rsid w:val="00A60A25"/>
    <w:rPr>
      <w:i/>
      <w:iCs/>
      <w:color w:val="0F4761" w:themeColor="accent1" w:themeShade="BF"/>
    </w:rPr>
  </w:style>
  <w:style w:type="paragraph" w:styleId="a9">
    <w:name w:val="Intense Quote"/>
    <w:basedOn w:val="a"/>
    <w:next w:val="a"/>
    <w:link w:val="aa"/>
    <w:uiPriority w:val="30"/>
    <w:qFormat/>
    <w:rsid w:val="00A60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A25"/>
    <w:rPr>
      <w:i/>
      <w:iCs/>
      <w:color w:val="0F4761" w:themeColor="accent1" w:themeShade="BF"/>
    </w:rPr>
  </w:style>
  <w:style w:type="character" w:styleId="ab">
    <w:name w:val="Intense Reference"/>
    <w:basedOn w:val="a0"/>
    <w:uiPriority w:val="32"/>
    <w:qFormat/>
    <w:rsid w:val="00A60A25"/>
    <w:rPr>
      <w:b/>
      <w:bCs/>
      <w:smallCaps/>
      <w:color w:val="0F4761" w:themeColor="accent1" w:themeShade="BF"/>
      <w:spacing w:val="5"/>
    </w:rPr>
  </w:style>
  <w:style w:type="paragraph" w:styleId="ac">
    <w:name w:val="header"/>
    <w:basedOn w:val="a"/>
    <w:link w:val="ad"/>
    <w:uiPriority w:val="99"/>
    <w:unhideWhenUsed/>
    <w:rsid w:val="00A60A2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60A25"/>
  </w:style>
  <w:style w:type="paragraph" w:styleId="ae">
    <w:name w:val="footer"/>
    <w:basedOn w:val="a"/>
    <w:link w:val="af"/>
    <w:uiPriority w:val="99"/>
    <w:unhideWhenUsed/>
    <w:rsid w:val="00A60A2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60A25"/>
  </w:style>
  <w:style w:type="paragraph" w:styleId="11">
    <w:name w:val="toc 1"/>
    <w:basedOn w:val="a"/>
    <w:next w:val="a"/>
    <w:autoRedefine/>
    <w:uiPriority w:val="39"/>
    <w:unhideWhenUsed/>
    <w:rsid w:val="00AB3643"/>
    <w:pPr>
      <w:spacing w:after="100"/>
    </w:pPr>
  </w:style>
  <w:style w:type="paragraph" w:styleId="23">
    <w:name w:val="toc 2"/>
    <w:basedOn w:val="a"/>
    <w:next w:val="a"/>
    <w:autoRedefine/>
    <w:uiPriority w:val="39"/>
    <w:unhideWhenUsed/>
    <w:rsid w:val="00AB3643"/>
    <w:pPr>
      <w:spacing w:after="100"/>
      <w:ind w:left="240"/>
    </w:pPr>
  </w:style>
  <w:style w:type="paragraph" w:styleId="af0">
    <w:name w:val="footnote text"/>
    <w:basedOn w:val="a"/>
    <w:link w:val="af1"/>
    <w:uiPriority w:val="99"/>
    <w:semiHidden/>
    <w:unhideWhenUsed/>
    <w:rsid w:val="00511432"/>
    <w:pPr>
      <w:spacing w:after="0" w:line="240" w:lineRule="auto"/>
    </w:pPr>
    <w:rPr>
      <w:sz w:val="20"/>
      <w:szCs w:val="20"/>
    </w:rPr>
  </w:style>
  <w:style w:type="character" w:customStyle="1" w:styleId="af1">
    <w:name w:val="Текст сноски Знак"/>
    <w:basedOn w:val="a0"/>
    <w:link w:val="af0"/>
    <w:uiPriority w:val="99"/>
    <w:semiHidden/>
    <w:rsid w:val="00511432"/>
    <w:rPr>
      <w:sz w:val="20"/>
      <w:szCs w:val="20"/>
    </w:rPr>
  </w:style>
  <w:style w:type="character" w:styleId="af2">
    <w:name w:val="footnote reference"/>
    <w:basedOn w:val="a0"/>
    <w:uiPriority w:val="99"/>
    <w:semiHidden/>
    <w:unhideWhenUsed/>
    <w:rsid w:val="00511432"/>
    <w:rPr>
      <w:vertAlign w:val="superscript"/>
    </w:rPr>
  </w:style>
  <w:style w:type="paragraph" w:styleId="af3">
    <w:name w:val="Normal (Web)"/>
    <w:basedOn w:val="a"/>
    <w:uiPriority w:val="99"/>
    <w:semiHidden/>
    <w:unhideWhenUsed/>
    <w:rsid w:val="00511432"/>
    <w:rPr>
      <w:rFonts w:ascii="Times New Roman" w:hAnsi="Times New Roman" w:cs="Times New Roman"/>
    </w:rPr>
  </w:style>
  <w:style w:type="character" w:styleId="af4">
    <w:name w:val="Hyperlink"/>
    <w:basedOn w:val="a0"/>
    <w:uiPriority w:val="99"/>
    <w:unhideWhenUsed/>
    <w:rsid w:val="00C80285"/>
    <w:rPr>
      <w:color w:val="467886" w:themeColor="hyperlink"/>
      <w:u w:val="single"/>
    </w:rPr>
  </w:style>
  <w:style w:type="character" w:styleId="af5">
    <w:name w:val="Unresolved Mention"/>
    <w:basedOn w:val="a0"/>
    <w:uiPriority w:val="99"/>
    <w:semiHidden/>
    <w:unhideWhenUsed/>
    <w:rsid w:val="00C80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26642">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317073275">
      <w:bodyDiv w:val="1"/>
      <w:marLeft w:val="0"/>
      <w:marRight w:val="0"/>
      <w:marTop w:val="0"/>
      <w:marBottom w:val="0"/>
      <w:divBdr>
        <w:top w:val="none" w:sz="0" w:space="0" w:color="auto"/>
        <w:left w:val="none" w:sz="0" w:space="0" w:color="auto"/>
        <w:bottom w:val="none" w:sz="0" w:space="0" w:color="auto"/>
        <w:right w:val="none" w:sz="0" w:space="0" w:color="auto"/>
      </w:divBdr>
    </w:div>
    <w:div w:id="385491297">
      <w:bodyDiv w:val="1"/>
      <w:marLeft w:val="0"/>
      <w:marRight w:val="0"/>
      <w:marTop w:val="0"/>
      <w:marBottom w:val="0"/>
      <w:divBdr>
        <w:top w:val="none" w:sz="0" w:space="0" w:color="auto"/>
        <w:left w:val="none" w:sz="0" w:space="0" w:color="auto"/>
        <w:bottom w:val="none" w:sz="0" w:space="0" w:color="auto"/>
        <w:right w:val="none" w:sz="0" w:space="0" w:color="auto"/>
      </w:divBdr>
    </w:div>
    <w:div w:id="486477534">
      <w:bodyDiv w:val="1"/>
      <w:marLeft w:val="0"/>
      <w:marRight w:val="0"/>
      <w:marTop w:val="0"/>
      <w:marBottom w:val="0"/>
      <w:divBdr>
        <w:top w:val="none" w:sz="0" w:space="0" w:color="auto"/>
        <w:left w:val="none" w:sz="0" w:space="0" w:color="auto"/>
        <w:bottom w:val="none" w:sz="0" w:space="0" w:color="auto"/>
        <w:right w:val="none" w:sz="0" w:space="0" w:color="auto"/>
      </w:divBdr>
      <w:divsChild>
        <w:div w:id="1569533723">
          <w:marLeft w:val="0"/>
          <w:marRight w:val="0"/>
          <w:marTop w:val="0"/>
          <w:marBottom w:val="0"/>
          <w:divBdr>
            <w:top w:val="none" w:sz="0" w:space="0" w:color="auto"/>
            <w:left w:val="none" w:sz="0" w:space="0" w:color="auto"/>
            <w:bottom w:val="none" w:sz="0" w:space="0" w:color="auto"/>
            <w:right w:val="none" w:sz="0" w:space="0" w:color="auto"/>
          </w:divBdr>
          <w:divsChild>
            <w:div w:id="678434456">
              <w:marLeft w:val="0"/>
              <w:marRight w:val="0"/>
              <w:marTop w:val="0"/>
              <w:marBottom w:val="0"/>
              <w:divBdr>
                <w:top w:val="none" w:sz="0" w:space="0" w:color="auto"/>
                <w:left w:val="none" w:sz="0" w:space="0" w:color="auto"/>
                <w:bottom w:val="none" w:sz="0" w:space="0" w:color="auto"/>
                <w:right w:val="none" w:sz="0" w:space="0" w:color="auto"/>
              </w:divBdr>
              <w:divsChild>
                <w:div w:id="13703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8509">
          <w:marLeft w:val="0"/>
          <w:marRight w:val="0"/>
          <w:marTop w:val="0"/>
          <w:marBottom w:val="0"/>
          <w:divBdr>
            <w:top w:val="none" w:sz="0" w:space="0" w:color="auto"/>
            <w:left w:val="none" w:sz="0" w:space="0" w:color="auto"/>
            <w:bottom w:val="none" w:sz="0" w:space="0" w:color="auto"/>
            <w:right w:val="none" w:sz="0" w:space="0" w:color="auto"/>
          </w:divBdr>
          <w:divsChild>
            <w:div w:id="25252400">
              <w:marLeft w:val="0"/>
              <w:marRight w:val="0"/>
              <w:marTop w:val="0"/>
              <w:marBottom w:val="0"/>
              <w:divBdr>
                <w:top w:val="none" w:sz="0" w:space="0" w:color="auto"/>
                <w:left w:val="none" w:sz="0" w:space="0" w:color="auto"/>
                <w:bottom w:val="none" w:sz="0" w:space="0" w:color="auto"/>
                <w:right w:val="none" w:sz="0" w:space="0" w:color="auto"/>
              </w:divBdr>
              <w:divsChild>
                <w:div w:id="9053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22961">
          <w:marLeft w:val="0"/>
          <w:marRight w:val="0"/>
          <w:marTop w:val="0"/>
          <w:marBottom w:val="0"/>
          <w:divBdr>
            <w:top w:val="none" w:sz="0" w:space="0" w:color="auto"/>
            <w:left w:val="none" w:sz="0" w:space="0" w:color="auto"/>
            <w:bottom w:val="none" w:sz="0" w:space="0" w:color="auto"/>
            <w:right w:val="none" w:sz="0" w:space="0" w:color="auto"/>
          </w:divBdr>
          <w:divsChild>
            <w:div w:id="583489816">
              <w:marLeft w:val="0"/>
              <w:marRight w:val="0"/>
              <w:marTop w:val="0"/>
              <w:marBottom w:val="0"/>
              <w:divBdr>
                <w:top w:val="none" w:sz="0" w:space="0" w:color="auto"/>
                <w:left w:val="none" w:sz="0" w:space="0" w:color="auto"/>
                <w:bottom w:val="none" w:sz="0" w:space="0" w:color="auto"/>
                <w:right w:val="none" w:sz="0" w:space="0" w:color="auto"/>
              </w:divBdr>
              <w:divsChild>
                <w:div w:id="18294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6256">
          <w:marLeft w:val="0"/>
          <w:marRight w:val="0"/>
          <w:marTop w:val="0"/>
          <w:marBottom w:val="0"/>
          <w:divBdr>
            <w:top w:val="none" w:sz="0" w:space="0" w:color="auto"/>
            <w:left w:val="none" w:sz="0" w:space="0" w:color="auto"/>
            <w:bottom w:val="none" w:sz="0" w:space="0" w:color="auto"/>
            <w:right w:val="none" w:sz="0" w:space="0" w:color="auto"/>
          </w:divBdr>
          <w:divsChild>
            <w:div w:id="562178280">
              <w:marLeft w:val="0"/>
              <w:marRight w:val="0"/>
              <w:marTop w:val="0"/>
              <w:marBottom w:val="0"/>
              <w:divBdr>
                <w:top w:val="none" w:sz="0" w:space="0" w:color="auto"/>
                <w:left w:val="none" w:sz="0" w:space="0" w:color="auto"/>
                <w:bottom w:val="none" w:sz="0" w:space="0" w:color="auto"/>
                <w:right w:val="none" w:sz="0" w:space="0" w:color="auto"/>
              </w:divBdr>
              <w:divsChild>
                <w:div w:id="16216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4673">
          <w:marLeft w:val="0"/>
          <w:marRight w:val="0"/>
          <w:marTop w:val="0"/>
          <w:marBottom w:val="0"/>
          <w:divBdr>
            <w:top w:val="none" w:sz="0" w:space="0" w:color="auto"/>
            <w:left w:val="none" w:sz="0" w:space="0" w:color="auto"/>
            <w:bottom w:val="none" w:sz="0" w:space="0" w:color="auto"/>
            <w:right w:val="none" w:sz="0" w:space="0" w:color="auto"/>
          </w:divBdr>
          <w:divsChild>
            <w:div w:id="1377972208">
              <w:marLeft w:val="0"/>
              <w:marRight w:val="0"/>
              <w:marTop w:val="0"/>
              <w:marBottom w:val="0"/>
              <w:divBdr>
                <w:top w:val="none" w:sz="0" w:space="0" w:color="auto"/>
                <w:left w:val="none" w:sz="0" w:space="0" w:color="auto"/>
                <w:bottom w:val="none" w:sz="0" w:space="0" w:color="auto"/>
                <w:right w:val="none" w:sz="0" w:space="0" w:color="auto"/>
              </w:divBdr>
              <w:divsChild>
                <w:div w:id="10651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95316">
          <w:marLeft w:val="0"/>
          <w:marRight w:val="0"/>
          <w:marTop w:val="0"/>
          <w:marBottom w:val="0"/>
          <w:divBdr>
            <w:top w:val="none" w:sz="0" w:space="0" w:color="auto"/>
            <w:left w:val="none" w:sz="0" w:space="0" w:color="auto"/>
            <w:bottom w:val="none" w:sz="0" w:space="0" w:color="auto"/>
            <w:right w:val="none" w:sz="0" w:space="0" w:color="auto"/>
          </w:divBdr>
          <w:divsChild>
            <w:div w:id="644433480">
              <w:marLeft w:val="0"/>
              <w:marRight w:val="0"/>
              <w:marTop w:val="0"/>
              <w:marBottom w:val="0"/>
              <w:divBdr>
                <w:top w:val="none" w:sz="0" w:space="0" w:color="auto"/>
                <w:left w:val="none" w:sz="0" w:space="0" w:color="auto"/>
                <w:bottom w:val="none" w:sz="0" w:space="0" w:color="auto"/>
                <w:right w:val="none" w:sz="0" w:space="0" w:color="auto"/>
              </w:divBdr>
              <w:divsChild>
                <w:div w:id="14617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2595">
          <w:marLeft w:val="0"/>
          <w:marRight w:val="0"/>
          <w:marTop w:val="0"/>
          <w:marBottom w:val="0"/>
          <w:divBdr>
            <w:top w:val="none" w:sz="0" w:space="0" w:color="auto"/>
            <w:left w:val="none" w:sz="0" w:space="0" w:color="auto"/>
            <w:bottom w:val="none" w:sz="0" w:space="0" w:color="auto"/>
            <w:right w:val="none" w:sz="0" w:space="0" w:color="auto"/>
          </w:divBdr>
          <w:divsChild>
            <w:div w:id="661397967">
              <w:marLeft w:val="0"/>
              <w:marRight w:val="0"/>
              <w:marTop w:val="0"/>
              <w:marBottom w:val="0"/>
              <w:divBdr>
                <w:top w:val="none" w:sz="0" w:space="0" w:color="auto"/>
                <w:left w:val="none" w:sz="0" w:space="0" w:color="auto"/>
                <w:bottom w:val="none" w:sz="0" w:space="0" w:color="auto"/>
                <w:right w:val="none" w:sz="0" w:space="0" w:color="auto"/>
              </w:divBdr>
              <w:divsChild>
                <w:div w:id="19878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41011">
          <w:marLeft w:val="0"/>
          <w:marRight w:val="0"/>
          <w:marTop w:val="0"/>
          <w:marBottom w:val="0"/>
          <w:divBdr>
            <w:top w:val="none" w:sz="0" w:space="0" w:color="auto"/>
            <w:left w:val="none" w:sz="0" w:space="0" w:color="auto"/>
            <w:bottom w:val="none" w:sz="0" w:space="0" w:color="auto"/>
            <w:right w:val="none" w:sz="0" w:space="0" w:color="auto"/>
          </w:divBdr>
          <w:divsChild>
            <w:div w:id="642924665">
              <w:marLeft w:val="0"/>
              <w:marRight w:val="0"/>
              <w:marTop w:val="0"/>
              <w:marBottom w:val="0"/>
              <w:divBdr>
                <w:top w:val="none" w:sz="0" w:space="0" w:color="auto"/>
                <w:left w:val="none" w:sz="0" w:space="0" w:color="auto"/>
                <w:bottom w:val="none" w:sz="0" w:space="0" w:color="auto"/>
                <w:right w:val="none" w:sz="0" w:space="0" w:color="auto"/>
              </w:divBdr>
              <w:divsChild>
                <w:div w:id="7097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6472">
          <w:marLeft w:val="0"/>
          <w:marRight w:val="0"/>
          <w:marTop w:val="0"/>
          <w:marBottom w:val="0"/>
          <w:divBdr>
            <w:top w:val="none" w:sz="0" w:space="0" w:color="auto"/>
            <w:left w:val="none" w:sz="0" w:space="0" w:color="auto"/>
            <w:bottom w:val="none" w:sz="0" w:space="0" w:color="auto"/>
            <w:right w:val="none" w:sz="0" w:space="0" w:color="auto"/>
          </w:divBdr>
          <w:divsChild>
            <w:div w:id="504054992">
              <w:marLeft w:val="0"/>
              <w:marRight w:val="0"/>
              <w:marTop w:val="0"/>
              <w:marBottom w:val="0"/>
              <w:divBdr>
                <w:top w:val="none" w:sz="0" w:space="0" w:color="auto"/>
                <w:left w:val="none" w:sz="0" w:space="0" w:color="auto"/>
                <w:bottom w:val="none" w:sz="0" w:space="0" w:color="auto"/>
                <w:right w:val="none" w:sz="0" w:space="0" w:color="auto"/>
              </w:divBdr>
              <w:divsChild>
                <w:div w:id="17268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4253">
          <w:marLeft w:val="0"/>
          <w:marRight w:val="0"/>
          <w:marTop w:val="0"/>
          <w:marBottom w:val="0"/>
          <w:divBdr>
            <w:top w:val="none" w:sz="0" w:space="0" w:color="auto"/>
            <w:left w:val="none" w:sz="0" w:space="0" w:color="auto"/>
            <w:bottom w:val="none" w:sz="0" w:space="0" w:color="auto"/>
            <w:right w:val="none" w:sz="0" w:space="0" w:color="auto"/>
          </w:divBdr>
          <w:divsChild>
            <w:div w:id="1035345303">
              <w:marLeft w:val="0"/>
              <w:marRight w:val="0"/>
              <w:marTop w:val="0"/>
              <w:marBottom w:val="0"/>
              <w:divBdr>
                <w:top w:val="none" w:sz="0" w:space="0" w:color="auto"/>
                <w:left w:val="none" w:sz="0" w:space="0" w:color="auto"/>
                <w:bottom w:val="none" w:sz="0" w:space="0" w:color="auto"/>
                <w:right w:val="none" w:sz="0" w:space="0" w:color="auto"/>
              </w:divBdr>
              <w:divsChild>
                <w:div w:id="15477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6211">
          <w:marLeft w:val="0"/>
          <w:marRight w:val="0"/>
          <w:marTop w:val="0"/>
          <w:marBottom w:val="0"/>
          <w:divBdr>
            <w:top w:val="none" w:sz="0" w:space="0" w:color="auto"/>
            <w:left w:val="none" w:sz="0" w:space="0" w:color="auto"/>
            <w:bottom w:val="none" w:sz="0" w:space="0" w:color="auto"/>
            <w:right w:val="none" w:sz="0" w:space="0" w:color="auto"/>
          </w:divBdr>
          <w:divsChild>
            <w:div w:id="797576181">
              <w:marLeft w:val="0"/>
              <w:marRight w:val="0"/>
              <w:marTop w:val="0"/>
              <w:marBottom w:val="0"/>
              <w:divBdr>
                <w:top w:val="none" w:sz="0" w:space="0" w:color="auto"/>
                <w:left w:val="none" w:sz="0" w:space="0" w:color="auto"/>
                <w:bottom w:val="none" w:sz="0" w:space="0" w:color="auto"/>
                <w:right w:val="none" w:sz="0" w:space="0" w:color="auto"/>
              </w:divBdr>
              <w:divsChild>
                <w:div w:id="17160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9188">
          <w:marLeft w:val="0"/>
          <w:marRight w:val="0"/>
          <w:marTop w:val="0"/>
          <w:marBottom w:val="0"/>
          <w:divBdr>
            <w:top w:val="none" w:sz="0" w:space="0" w:color="auto"/>
            <w:left w:val="none" w:sz="0" w:space="0" w:color="auto"/>
            <w:bottom w:val="none" w:sz="0" w:space="0" w:color="auto"/>
            <w:right w:val="none" w:sz="0" w:space="0" w:color="auto"/>
          </w:divBdr>
          <w:divsChild>
            <w:div w:id="1901362226">
              <w:marLeft w:val="0"/>
              <w:marRight w:val="0"/>
              <w:marTop w:val="0"/>
              <w:marBottom w:val="0"/>
              <w:divBdr>
                <w:top w:val="none" w:sz="0" w:space="0" w:color="auto"/>
                <w:left w:val="none" w:sz="0" w:space="0" w:color="auto"/>
                <w:bottom w:val="none" w:sz="0" w:space="0" w:color="auto"/>
                <w:right w:val="none" w:sz="0" w:space="0" w:color="auto"/>
              </w:divBdr>
              <w:divsChild>
                <w:div w:id="14954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89104">
          <w:marLeft w:val="0"/>
          <w:marRight w:val="0"/>
          <w:marTop w:val="0"/>
          <w:marBottom w:val="0"/>
          <w:divBdr>
            <w:top w:val="none" w:sz="0" w:space="0" w:color="auto"/>
            <w:left w:val="none" w:sz="0" w:space="0" w:color="auto"/>
            <w:bottom w:val="none" w:sz="0" w:space="0" w:color="auto"/>
            <w:right w:val="none" w:sz="0" w:space="0" w:color="auto"/>
          </w:divBdr>
          <w:divsChild>
            <w:div w:id="251814497">
              <w:marLeft w:val="0"/>
              <w:marRight w:val="0"/>
              <w:marTop w:val="0"/>
              <w:marBottom w:val="0"/>
              <w:divBdr>
                <w:top w:val="none" w:sz="0" w:space="0" w:color="auto"/>
                <w:left w:val="none" w:sz="0" w:space="0" w:color="auto"/>
                <w:bottom w:val="none" w:sz="0" w:space="0" w:color="auto"/>
                <w:right w:val="none" w:sz="0" w:space="0" w:color="auto"/>
              </w:divBdr>
              <w:divsChild>
                <w:div w:id="13342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9202">
          <w:marLeft w:val="0"/>
          <w:marRight w:val="0"/>
          <w:marTop w:val="0"/>
          <w:marBottom w:val="0"/>
          <w:divBdr>
            <w:top w:val="none" w:sz="0" w:space="0" w:color="auto"/>
            <w:left w:val="none" w:sz="0" w:space="0" w:color="auto"/>
            <w:bottom w:val="none" w:sz="0" w:space="0" w:color="auto"/>
            <w:right w:val="none" w:sz="0" w:space="0" w:color="auto"/>
          </w:divBdr>
          <w:divsChild>
            <w:div w:id="363944386">
              <w:marLeft w:val="0"/>
              <w:marRight w:val="0"/>
              <w:marTop w:val="0"/>
              <w:marBottom w:val="0"/>
              <w:divBdr>
                <w:top w:val="none" w:sz="0" w:space="0" w:color="auto"/>
                <w:left w:val="none" w:sz="0" w:space="0" w:color="auto"/>
                <w:bottom w:val="none" w:sz="0" w:space="0" w:color="auto"/>
                <w:right w:val="none" w:sz="0" w:space="0" w:color="auto"/>
              </w:divBdr>
              <w:divsChild>
                <w:div w:id="99136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68553">
          <w:marLeft w:val="0"/>
          <w:marRight w:val="0"/>
          <w:marTop w:val="0"/>
          <w:marBottom w:val="0"/>
          <w:divBdr>
            <w:top w:val="none" w:sz="0" w:space="0" w:color="auto"/>
            <w:left w:val="none" w:sz="0" w:space="0" w:color="auto"/>
            <w:bottom w:val="none" w:sz="0" w:space="0" w:color="auto"/>
            <w:right w:val="none" w:sz="0" w:space="0" w:color="auto"/>
          </w:divBdr>
          <w:divsChild>
            <w:div w:id="600138519">
              <w:marLeft w:val="0"/>
              <w:marRight w:val="0"/>
              <w:marTop w:val="0"/>
              <w:marBottom w:val="0"/>
              <w:divBdr>
                <w:top w:val="none" w:sz="0" w:space="0" w:color="auto"/>
                <w:left w:val="none" w:sz="0" w:space="0" w:color="auto"/>
                <w:bottom w:val="none" w:sz="0" w:space="0" w:color="auto"/>
                <w:right w:val="none" w:sz="0" w:space="0" w:color="auto"/>
              </w:divBdr>
              <w:divsChild>
                <w:div w:id="4802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2038">
          <w:marLeft w:val="0"/>
          <w:marRight w:val="0"/>
          <w:marTop w:val="0"/>
          <w:marBottom w:val="0"/>
          <w:divBdr>
            <w:top w:val="none" w:sz="0" w:space="0" w:color="auto"/>
            <w:left w:val="none" w:sz="0" w:space="0" w:color="auto"/>
            <w:bottom w:val="none" w:sz="0" w:space="0" w:color="auto"/>
            <w:right w:val="none" w:sz="0" w:space="0" w:color="auto"/>
          </w:divBdr>
          <w:divsChild>
            <w:div w:id="1406107364">
              <w:marLeft w:val="0"/>
              <w:marRight w:val="0"/>
              <w:marTop w:val="0"/>
              <w:marBottom w:val="0"/>
              <w:divBdr>
                <w:top w:val="none" w:sz="0" w:space="0" w:color="auto"/>
                <w:left w:val="none" w:sz="0" w:space="0" w:color="auto"/>
                <w:bottom w:val="none" w:sz="0" w:space="0" w:color="auto"/>
                <w:right w:val="none" w:sz="0" w:space="0" w:color="auto"/>
              </w:divBdr>
              <w:divsChild>
                <w:div w:id="17977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6389">
          <w:marLeft w:val="0"/>
          <w:marRight w:val="0"/>
          <w:marTop w:val="0"/>
          <w:marBottom w:val="0"/>
          <w:divBdr>
            <w:top w:val="none" w:sz="0" w:space="0" w:color="auto"/>
            <w:left w:val="none" w:sz="0" w:space="0" w:color="auto"/>
            <w:bottom w:val="none" w:sz="0" w:space="0" w:color="auto"/>
            <w:right w:val="none" w:sz="0" w:space="0" w:color="auto"/>
          </w:divBdr>
          <w:divsChild>
            <w:div w:id="907230725">
              <w:marLeft w:val="0"/>
              <w:marRight w:val="0"/>
              <w:marTop w:val="0"/>
              <w:marBottom w:val="0"/>
              <w:divBdr>
                <w:top w:val="none" w:sz="0" w:space="0" w:color="auto"/>
                <w:left w:val="none" w:sz="0" w:space="0" w:color="auto"/>
                <w:bottom w:val="none" w:sz="0" w:space="0" w:color="auto"/>
                <w:right w:val="none" w:sz="0" w:space="0" w:color="auto"/>
              </w:divBdr>
              <w:divsChild>
                <w:div w:id="9559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6619">
          <w:marLeft w:val="0"/>
          <w:marRight w:val="0"/>
          <w:marTop w:val="0"/>
          <w:marBottom w:val="0"/>
          <w:divBdr>
            <w:top w:val="none" w:sz="0" w:space="0" w:color="auto"/>
            <w:left w:val="none" w:sz="0" w:space="0" w:color="auto"/>
            <w:bottom w:val="none" w:sz="0" w:space="0" w:color="auto"/>
            <w:right w:val="none" w:sz="0" w:space="0" w:color="auto"/>
          </w:divBdr>
          <w:divsChild>
            <w:div w:id="113793848">
              <w:marLeft w:val="0"/>
              <w:marRight w:val="0"/>
              <w:marTop w:val="0"/>
              <w:marBottom w:val="0"/>
              <w:divBdr>
                <w:top w:val="none" w:sz="0" w:space="0" w:color="auto"/>
                <w:left w:val="none" w:sz="0" w:space="0" w:color="auto"/>
                <w:bottom w:val="none" w:sz="0" w:space="0" w:color="auto"/>
                <w:right w:val="none" w:sz="0" w:space="0" w:color="auto"/>
              </w:divBdr>
              <w:divsChild>
                <w:div w:id="1464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8330">
          <w:marLeft w:val="0"/>
          <w:marRight w:val="0"/>
          <w:marTop w:val="0"/>
          <w:marBottom w:val="0"/>
          <w:divBdr>
            <w:top w:val="none" w:sz="0" w:space="0" w:color="auto"/>
            <w:left w:val="none" w:sz="0" w:space="0" w:color="auto"/>
            <w:bottom w:val="none" w:sz="0" w:space="0" w:color="auto"/>
            <w:right w:val="none" w:sz="0" w:space="0" w:color="auto"/>
          </w:divBdr>
          <w:divsChild>
            <w:div w:id="284384133">
              <w:marLeft w:val="0"/>
              <w:marRight w:val="0"/>
              <w:marTop w:val="0"/>
              <w:marBottom w:val="0"/>
              <w:divBdr>
                <w:top w:val="none" w:sz="0" w:space="0" w:color="auto"/>
                <w:left w:val="none" w:sz="0" w:space="0" w:color="auto"/>
                <w:bottom w:val="none" w:sz="0" w:space="0" w:color="auto"/>
                <w:right w:val="none" w:sz="0" w:space="0" w:color="auto"/>
              </w:divBdr>
              <w:divsChild>
                <w:div w:id="18821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19883">
          <w:marLeft w:val="0"/>
          <w:marRight w:val="0"/>
          <w:marTop w:val="0"/>
          <w:marBottom w:val="0"/>
          <w:divBdr>
            <w:top w:val="none" w:sz="0" w:space="0" w:color="auto"/>
            <w:left w:val="none" w:sz="0" w:space="0" w:color="auto"/>
            <w:bottom w:val="none" w:sz="0" w:space="0" w:color="auto"/>
            <w:right w:val="none" w:sz="0" w:space="0" w:color="auto"/>
          </w:divBdr>
          <w:divsChild>
            <w:div w:id="1400667824">
              <w:marLeft w:val="0"/>
              <w:marRight w:val="0"/>
              <w:marTop w:val="0"/>
              <w:marBottom w:val="0"/>
              <w:divBdr>
                <w:top w:val="none" w:sz="0" w:space="0" w:color="auto"/>
                <w:left w:val="none" w:sz="0" w:space="0" w:color="auto"/>
                <w:bottom w:val="none" w:sz="0" w:space="0" w:color="auto"/>
                <w:right w:val="none" w:sz="0" w:space="0" w:color="auto"/>
              </w:divBdr>
              <w:divsChild>
                <w:div w:id="8608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0418">
          <w:marLeft w:val="0"/>
          <w:marRight w:val="0"/>
          <w:marTop w:val="0"/>
          <w:marBottom w:val="0"/>
          <w:divBdr>
            <w:top w:val="none" w:sz="0" w:space="0" w:color="auto"/>
            <w:left w:val="none" w:sz="0" w:space="0" w:color="auto"/>
            <w:bottom w:val="none" w:sz="0" w:space="0" w:color="auto"/>
            <w:right w:val="none" w:sz="0" w:space="0" w:color="auto"/>
          </w:divBdr>
          <w:divsChild>
            <w:div w:id="2141874970">
              <w:marLeft w:val="0"/>
              <w:marRight w:val="0"/>
              <w:marTop w:val="0"/>
              <w:marBottom w:val="0"/>
              <w:divBdr>
                <w:top w:val="none" w:sz="0" w:space="0" w:color="auto"/>
                <w:left w:val="none" w:sz="0" w:space="0" w:color="auto"/>
                <w:bottom w:val="none" w:sz="0" w:space="0" w:color="auto"/>
                <w:right w:val="none" w:sz="0" w:space="0" w:color="auto"/>
              </w:divBdr>
              <w:divsChild>
                <w:div w:id="10605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08638">
      <w:bodyDiv w:val="1"/>
      <w:marLeft w:val="0"/>
      <w:marRight w:val="0"/>
      <w:marTop w:val="0"/>
      <w:marBottom w:val="0"/>
      <w:divBdr>
        <w:top w:val="none" w:sz="0" w:space="0" w:color="auto"/>
        <w:left w:val="none" w:sz="0" w:space="0" w:color="auto"/>
        <w:bottom w:val="none" w:sz="0" w:space="0" w:color="auto"/>
        <w:right w:val="none" w:sz="0" w:space="0" w:color="auto"/>
      </w:divBdr>
    </w:div>
    <w:div w:id="832571225">
      <w:bodyDiv w:val="1"/>
      <w:marLeft w:val="0"/>
      <w:marRight w:val="0"/>
      <w:marTop w:val="0"/>
      <w:marBottom w:val="0"/>
      <w:divBdr>
        <w:top w:val="none" w:sz="0" w:space="0" w:color="auto"/>
        <w:left w:val="none" w:sz="0" w:space="0" w:color="auto"/>
        <w:bottom w:val="none" w:sz="0" w:space="0" w:color="auto"/>
        <w:right w:val="none" w:sz="0" w:space="0" w:color="auto"/>
      </w:divBdr>
    </w:div>
    <w:div w:id="842863354">
      <w:bodyDiv w:val="1"/>
      <w:marLeft w:val="0"/>
      <w:marRight w:val="0"/>
      <w:marTop w:val="0"/>
      <w:marBottom w:val="0"/>
      <w:divBdr>
        <w:top w:val="none" w:sz="0" w:space="0" w:color="auto"/>
        <w:left w:val="none" w:sz="0" w:space="0" w:color="auto"/>
        <w:bottom w:val="none" w:sz="0" w:space="0" w:color="auto"/>
        <w:right w:val="none" w:sz="0" w:space="0" w:color="auto"/>
      </w:divBdr>
    </w:div>
    <w:div w:id="901404477">
      <w:bodyDiv w:val="1"/>
      <w:marLeft w:val="0"/>
      <w:marRight w:val="0"/>
      <w:marTop w:val="0"/>
      <w:marBottom w:val="0"/>
      <w:divBdr>
        <w:top w:val="none" w:sz="0" w:space="0" w:color="auto"/>
        <w:left w:val="none" w:sz="0" w:space="0" w:color="auto"/>
        <w:bottom w:val="none" w:sz="0" w:space="0" w:color="auto"/>
        <w:right w:val="none" w:sz="0" w:space="0" w:color="auto"/>
      </w:divBdr>
    </w:div>
    <w:div w:id="999308927">
      <w:bodyDiv w:val="1"/>
      <w:marLeft w:val="0"/>
      <w:marRight w:val="0"/>
      <w:marTop w:val="0"/>
      <w:marBottom w:val="0"/>
      <w:divBdr>
        <w:top w:val="none" w:sz="0" w:space="0" w:color="auto"/>
        <w:left w:val="none" w:sz="0" w:space="0" w:color="auto"/>
        <w:bottom w:val="none" w:sz="0" w:space="0" w:color="auto"/>
        <w:right w:val="none" w:sz="0" w:space="0" w:color="auto"/>
      </w:divBdr>
    </w:div>
    <w:div w:id="1112898832">
      <w:bodyDiv w:val="1"/>
      <w:marLeft w:val="0"/>
      <w:marRight w:val="0"/>
      <w:marTop w:val="0"/>
      <w:marBottom w:val="0"/>
      <w:divBdr>
        <w:top w:val="none" w:sz="0" w:space="0" w:color="auto"/>
        <w:left w:val="none" w:sz="0" w:space="0" w:color="auto"/>
        <w:bottom w:val="none" w:sz="0" w:space="0" w:color="auto"/>
        <w:right w:val="none" w:sz="0" w:space="0" w:color="auto"/>
      </w:divBdr>
    </w:div>
    <w:div w:id="1132941194">
      <w:bodyDiv w:val="1"/>
      <w:marLeft w:val="0"/>
      <w:marRight w:val="0"/>
      <w:marTop w:val="0"/>
      <w:marBottom w:val="0"/>
      <w:divBdr>
        <w:top w:val="none" w:sz="0" w:space="0" w:color="auto"/>
        <w:left w:val="none" w:sz="0" w:space="0" w:color="auto"/>
        <w:bottom w:val="none" w:sz="0" w:space="0" w:color="auto"/>
        <w:right w:val="none" w:sz="0" w:space="0" w:color="auto"/>
      </w:divBdr>
      <w:divsChild>
        <w:div w:id="270357982">
          <w:marLeft w:val="0"/>
          <w:marRight w:val="0"/>
          <w:marTop w:val="0"/>
          <w:marBottom w:val="0"/>
          <w:divBdr>
            <w:top w:val="none" w:sz="0" w:space="0" w:color="auto"/>
            <w:left w:val="none" w:sz="0" w:space="0" w:color="auto"/>
            <w:bottom w:val="none" w:sz="0" w:space="0" w:color="auto"/>
            <w:right w:val="none" w:sz="0" w:space="0" w:color="auto"/>
          </w:divBdr>
          <w:divsChild>
            <w:div w:id="2067072167">
              <w:marLeft w:val="0"/>
              <w:marRight w:val="0"/>
              <w:marTop w:val="0"/>
              <w:marBottom w:val="0"/>
              <w:divBdr>
                <w:top w:val="none" w:sz="0" w:space="0" w:color="auto"/>
                <w:left w:val="none" w:sz="0" w:space="0" w:color="auto"/>
                <w:bottom w:val="none" w:sz="0" w:space="0" w:color="auto"/>
                <w:right w:val="none" w:sz="0" w:space="0" w:color="auto"/>
              </w:divBdr>
              <w:divsChild>
                <w:div w:id="19978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452">
          <w:marLeft w:val="0"/>
          <w:marRight w:val="0"/>
          <w:marTop w:val="0"/>
          <w:marBottom w:val="0"/>
          <w:divBdr>
            <w:top w:val="none" w:sz="0" w:space="0" w:color="auto"/>
            <w:left w:val="none" w:sz="0" w:space="0" w:color="auto"/>
            <w:bottom w:val="none" w:sz="0" w:space="0" w:color="auto"/>
            <w:right w:val="none" w:sz="0" w:space="0" w:color="auto"/>
          </w:divBdr>
          <w:divsChild>
            <w:div w:id="1643728955">
              <w:marLeft w:val="0"/>
              <w:marRight w:val="0"/>
              <w:marTop w:val="0"/>
              <w:marBottom w:val="0"/>
              <w:divBdr>
                <w:top w:val="none" w:sz="0" w:space="0" w:color="auto"/>
                <w:left w:val="none" w:sz="0" w:space="0" w:color="auto"/>
                <w:bottom w:val="none" w:sz="0" w:space="0" w:color="auto"/>
                <w:right w:val="none" w:sz="0" w:space="0" w:color="auto"/>
              </w:divBdr>
              <w:divsChild>
                <w:div w:id="11457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783">
          <w:marLeft w:val="0"/>
          <w:marRight w:val="0"/>
          <w:marTop w:val="0"/>
          <w:marBottom w:val="0"/>
          <w:divBdr>
            <w:top w:val="none" w:sz="0" w:space="0" w:color="auto"/>
            <w:left w:val="none" w:sz="0" w:space="0" w:color="auto"/>
            <w:bottom w:val="none" w:sz="0" w:space="0" w:color="auto"/>
            <w:right w:val="none" w:sz="0" w:space="0" w:color="auto"/>
          </w:divBdr>
          <w:divsChild>
            <w:div w:id="160898273">
              <w:marLeft w:val="0"/>
              <w:marRight w:val="0"/>
              <w:marTop w:val="0"/>
              <w:marBottom w:val="0"/>
              <w:divBdr>
                <w:top w:val="none" w:sz="0" w:space="0" w:color="auto"/>
                <w:left w:val="none" w:sz="0" w:space="0" w:color="auto"/>
                <w:bottom w:val="none" w:sz="0" w:space="0" w:color="auto"/>
                <w:right w:val="none" w:sz="0" w:space="0" w:color="auto"/>
              </w:divBdr>
              <w:divsChild>
                <w:div w:id="4691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009">
          <w:marLeft w:val="0"/>
          <w:marRight w:val="0"/>
          <w:marTop w:val="0"/>
          <w:marBottom w:val="0"/>
          <w:divBdr>
            <w:top w:val="none" w:sz="0" w:space="0" w:color="auto"/>
            <w:left w:val="none" w:sz="0" w:space="0" w:color="auto"/>
            <w:bottom w:val="none" w:sz="0" w:space="0" w:color="auto"/>
            <w:right w:val="none" w:sz="0" w:space="0" w:color="auto"/>
          </w:divBdr>
          <w:divsChild>
            <w:div w:id="1928801401">
              <w:marLeft w:val="0"/>
              <w:marRight w:val="0"/>
              <w:marTop w:val="0"/>
              <w:marBottom w:val="0"/>
              <w:divBdr>
                <w:top w:val="none" w:sz="0" w:space="0" w:color="auto"/>
                <w:left w:val="none" w:sz="0" w:space="0" w:color="auto"/>
                <w:bottom w:val="none" w:sz="0" w:space="0" w:color="auto"/>
                <w:right w:val="none" w:sz="0" w:space="0" w:color="auto"/>
              </w:divBdr>
              <w:divsChild>
                <w:div w:id="111975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79921">
          <w:marLeft w:val="0"/>
          <w:marRight w:val="0"/>
          <w:marTop w:val="0"/>
          <w:marBottom w:val="0"/>
          <w:divBdr>
            <w:top w:val="none" w:sz="0" w:space="0" w:color="auto"/>
            <w:left w:val="none" w:sz="0" w:space="0" w:color="auto"/>
            <w:bottom w:val="none" w:sz="0" w:space="0" w:color="auto"/>
            <w:right w:val="none" w:sz="0" w:space="0" w:color="auto"/>
          </w:divBdr>
          <w:divsChild>
            <w:div w:id="619721489">
              <w:marLeft w:val="0"/>
              <w:marRight w:val="0"/>
              <w:marTop w:val="0"/>
              <w:marBottom w:val="0"/>
              <w:divBdr>
                <w:top w:val="none" w:sz="0" w:space="0" w:color="auto"/>
                <w:left w:val="none" w:sz="0" w:space="0" w:color="auto"/>
                <w:bottom w:val="none" w:sz="0" w:space="0" w:color="auto"/>
                <w:right w:val="none" w:sz="0" w:space="0" w:color="auto"/>
              </w:divBdr>
              <w:divsChild>
                <w:div w:id="12658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53935">
          <w:marLeft w:val="0"/>
          <w:marRight w:val="0"/>
          <w:marTop w:val="0"/>
          <w:marBottom w:val="0"/>
          <w:divBdr>
            <w:top w:val="none" w:sz="0" w:space="0" w:color="auto"/>
            <w:left w:val="none" w:sz="0" w:space="0" w:color="auto"/>
            <w:bottom w:val="none" w:sz="0" w:space="0" w:color="auto"/>
            <w:right w:val="none" w:sz="0" w:space="0" w:color="auto"/>
          </w:divBdr>
          <w:divsChild>
            <w:div w:id="1606037583">
              <w:marLeft w:val="0"/>
              <w:marRight w:val="0"/>
              <w:marTop w:val="0"/>
              <w:marBottom w:val="0"/>
              <w:divBdr>
                <w:top w:val="none" w:sz="0" w:space="0" w:color="auto"/>
                <w:left w:val="none" w:sz="0" w:space="0" w:color="auto"/>
                <w:bottom w:val="none" w:sz="0" w:space="0" w:color="auto"/>
                <w:right w:val="none" w:sz="0" w:space="0" w:color="auto"/>
              </w:divBdr>
              <w:divsChild>
                <w:div w:id="13640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17388">
          <w:marLeft w:val="0"/>
          <w:marRight w:val="0"/>
          <w:marTop w:val="0"/>
          <w:marBottom w:val="0"/>
          <w:divBdr>
            <w:top w:val="none" w:sz="0" w:space="0" w:color="auto"/>
            <w:left w:val="none" w:sz="0" w:space="0" w:color="auto"/>
            <w:bottom w:val="none" w:sz="0" w:space="0" w:color="auto"/>
            <w:right w:val="none" w:sz="0" w:space="0" w:color="auto"/>
          </w:divBdr>
          <w:divsChild>
            <w:div w:id="92405951">
              <w:marLeft w:val="0"/>
              <w:marRight w:val="0"/>
              <w:marTop w:val="0"/>
              <w:marBottom w:val="0"/>
              <w:divBdr>
                <w:top w:val="none" w:sz="0" w:space="0" w:color="auto"/>
                <w:left w:val="none" w:sz="0" w:space="0" w:color="auto"/>
                <w:bottom w:val="none" w:sz="0" w:space="0" w:color="auto"/>
                <w:right w:val="none" w:sz="0" w:space="0" w:color="auto"/>
              </w:divBdr>
              <w:divsChild>
                <w:div w:id="3034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32592">
          <w:marLeft w:val="0"/>
          <w:marRight w:val="0"/>
          <w:marTop w:val="0"/>
          <w:marBottom w:val="0"/>
          <w:divBdr>
            <w:top w:val="none" w:sz="0" w:space="0" w:color="auto"/>
            <w:left w:val="none" w:sz="0" w:space="0" w:color="auto"/>
            <w:bottom w:val="none" w:sz="0" w:space="0" w:color="auto"/>
            <w:right w:val="none" w:sz="0" w:space="0" w:color="auto"/>
          </w:divBdr>
          <w:divsChild>
            <w:div w:id="917790721">
              <w:marLeft w:val="0"/>
              <w:marRight w:val="0"/>
              <w:marTop w:val="0"/>
              <w:marBottom w:val="0"/>
              <w:divBdr>
                <w:top w:val="none" w:sz="0" w:space="0" w:color="auto"/>
                <w:left w:val="none" w:sz="0" w:space="0" w:color="auto"/>
                <w:bottom w:val="none" w:sz="0" w:space="0" w:color="auto"/>
                <w:right w:val="none" w:sz="0" w:space="0" w:color="auto"/>
              </w:divBdr>
              <w:divsChild>
                <w:div w:id="3718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1745">
          <w:marLeft w:val="0"/>
          <w:marRight w:val="0"/>
          <w:marTop w:val="0"/>
          <w:marBottom w:val="0"/>
          <w:divBdr>
            <w:top w:val="none" w:sz="0" w:space="0" w:color="auto"/>
            <w:left w:val="none" w:sz="0" w:space="0" w:color="auto"/>
            <w:bottom w:val="none" w:sz="0" w:space="0" w:color="auto"/>
            <w:right w:val="none" w:sz="0" w:space="0" w:color="auto"/>
          </w:divBdr>
          <w:divsChild>
            <w:div w:id="384985462">
              <w:marLeft w:val="0"/>
              <w:marRight w:val="0"/>
              <w:marTop w:val="0"/>
              <w:marBottom w:val="0"/>
              <w:divBdr>
                <w:top w:val="none" w:sz="0" w:space="0" w:color="auto"/>
                <w:left w:val="none" w:sz="0" w:space="0" w:color="auto"/>
                <w:bottom w:val="none" w:sz="0" w:space="0" w:color="auto"/>
                <w:right w:val="none" w:sz="0" w:space="0" w:color="auto"/>
              </w:divBdr>
              <w:divsChild>
                <w:div w:id="5407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4945">
          <w:marLeft w:val="0"/>
          <w:marRight w:val="0"/>
          <w:marTop w:val="0"/>
          <w:marBottom w:val="0"/>
          <w:divBdr>
            <w:top w:val="none" w:sz="0" w:space="0" w:color="auto"/>
            <w:left w:val="none" w:sz="0" w:space="0" w:color="auto"/>
            <w:bottom w:val="none" w:sz="0" w:space="0" w:color="auto"/>
            <w:right w:val="none" w:sz="0" w:space="0" w:color="auto"/>
          </w:divBdr>
          <w:divsChild>
            <w:div w:id="298652462">
              <w:marLeft w:val="0"/>
              <w:marRight w:val="0"/>
              <w:marTop w:val="0"/>
              <w:marBottom w:val="0"/>
              <w:divBdr>
                <w:top w:val="none" w:sz="0" w:space="0" w:color="auto"/>
                <w:left w:val="none" w:sz="0" w:space="0" w:color="auto"/>
                <w:bottom w:val="none" w:sz="0" w:space="0" w:color="auto"/>
                <w:right w:val="none" w:sz="0" w:space="0" w:color="auto"/>
              </w:divBdr>
              <w:divsChild>
                <w:div w:id="19879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5984">
          <w:marLeft w:val="0"/>
          <w:marRight w:val="0"/>
          <w:marTop w:val="0"/>
          <w:marBottom w:val="0"/>
          <w:divBdr>
            <w:top w:val="none" w:sz="0" w:space="0" w:color="auto"/>
            <w:left w:val="none" w:sz="0" w:space="0" w:color="auto"/>
            <w:bottom w:val="none" w:sz="0" w:space="0" w:color="auto"/>
            <w:right w:val="none" w:sz="0" w:space="0" w:color="auto"/>
          </w:divBdr>
          <w:divsChild>
            <w:div w:id="1398671787">
              <w:marLeft w:val="0"/>
              <w:marRight w:val="0"/>
              <w:marTop w:val="0"/>
              <w:marBottom w:val="0"/>
              <w:divBdr>
                <w:top w:val="none" w:sz="0" w:space="0" w:color="auto"/>
                <w:left w:val="none" w:sz="0" w:space="0" w:color="auto"/>
                <w:bottom w:val="none" w:sz="0" w:space="0" w:color="auto"/>
                <w:right w:val="none" w:sz="0" w:space="0" w:color="auto"/>
              </w:divBdr>
              <w:divsChild>
                <w:div w:id="20919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6858">
          <w:marLeft w:val="0"/>
          <w:marRight w:val="0"/>
          <w:marTop w:val="0"/>
          <w:marBottom w:val="0"/>
          <w:divBdr>
            <w:top w:val="none" w:sz="0" w:space="0" w:color="auto"/>
            <w:left w:val="none" w:sz="0" w:space="0" w:color="auto"/>
            <w:bottom w:val="none" w:sz="0" w:space="0" w:color="auto"/>
            <w:right w:val="none" w:sz="0" w:space="0" w:color="auto"/>
          </w:divBdr>
          <w:divsChild>
            <w:div w:id="198126073">
              <w:marLeft w:val="0"/>
              <w:marRight w:val="0"/>
              <w:marTop w:val="0"/>
              <w:marBottom w:val="0"/>
              <w:divBdr>
                <w:top w:val="none" w:sz="0" w:space="0" w:color="auto"/>
                <w:left w:val="none" w:sz="0" w:space="0" w:color="auto"/>
                <w:bottom w:val="none" w:sz="0" w:space="0" w:color="auto"/>
                <w:right w:val="none" w:sz="0" w:space="0" w:color="auto"/>
              </w:divBdr>
              <w:divsChild>
                <w:div w:id="7224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4416">
          <w:marLeft w:val="0"/>
          <w:marRight w:val="0"/>
          <w:marTop w:val="0"/>
          <w:marBottom w:val="0"/>
          <w:divBdr>
            <w:top w:val="none" w:sz="0" w:space="0" w:color="auto"/>
            <w:left w:val="none" w:sz="0" w:space="0" w:color="auto"/>
            <w:bottom w:val="none" w:sz="0" w:space="0" w:color="auto"/>
            <w:right w:val="none" w:sz="0" w:space="0" w:color="auto"/>
          </w:divBdr>
          <w:divsChild>
            <w:div w:id="245846707">
              <w:marLeft w:val="0"/>
              <w:marRight w:val="0"/>
              <w:marTop w:val="0"/>
              <w:marBottom w:val="0"/>
              <w:divBdr>
                <w:top w:val="none" w:sz="0" w:space="0" w:color="auto"/>
                <w:left w:val="none" w:sz="0" w:space="0" w:color="auto"/>
                <w:bottom w:val="none" w:sz="0" w:space="0" w:color="auto"/>
                <w:right w:val="none" w:sz="0" w:space="0" w:color="auto"/>
              </w:divBdr>
              <w:divsChild>
                <w:div w:id="4105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98540">
          <w:marLeft w:val="0"/>
          <w:marRight w:val="0"/>
          <w:marTop w:val="0"/>
          <w:marBottom w:val="0"/>
          <w:divBdr>
            <w:top w:val="none" w:sz="0" w:space="0" w:color="auto"/>
            <w:left w:val="none" w:sz="0" w:space="0" w:color="auto"/>
            <w:bottom w:val="none" w:sz="0" w:space="0" w:color="auto"/>
            <w:right w:val="none" w:sz="0" w:space="0" w:color="auto"/>
          </w:divBdr>
          <w:divsChild>
            <w:div w:id="1661620554">
              <w:marLeft w:val="0"/>
              <w:marRight w:val="0"/>
              <w:marTop w:val="0"/>
              <w:marBottom w:val="0"/>
              <w:divBdr>
                <w:top w:val="none" w:sz="0" w:space="0" w:color="auto"/>
                <w:left w:val="none" w:sz="0" w:space="0" w:color="auto"/>
                <w:bottom w:val="none" w:sz="0" w:space="0" w:color="auto"/>
                <w:right w:val="none" w:sz="0" w:space="0" w:color="auto"/>
              </w:divBdr>
              <w:divsChild>
                <w:div w:id="86155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47361">
          <w:marLeft w:val="0"/>
          <w:marRight w:val="0"/>
          <w:marTop w:val="0"/>
          <w:marBottom w:val="0"/>
          <w:divBdr>
            <w:top w:val="none" w:sz="0" w:space="0" w:color="auto"/>
            <w:left w:val="none" w:sz="0" w:space="0" w:color="auto"/>
            <w:bottom w:val="none" w:sz="0" w:space="0" w:color="auto"/>
            <w:right w:val="none" w:sz="0" w:space="0" w:color="auto"/>
          </w:divBdr>
          <w:divsChild>
            <w:div w:id="1316105549">
              <w:marLeft w:val="0"/>
              <w:marRight w:val="0"/>
              <w:marTop w:val="0"/>
              <w:marBottom w:val="0"/>
              <w:divBdr>
                <w:top w:val="none" w:sz="0" w:space="0" w:color="auto"/>
                <w:left w:val="none" w:sz="0" w:space="0" w:color="auto"/>
                <w:bottom w:val="none" w:sz="0" w:space="0" w:color="auto"/>
                <w:right w:val="none" w:sz="0" w:space="0" w:color="auto"/>
              </w:divBdr>
              <w:divsChild>
                <w:div w:id="7510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7571">
          <w:marLeft w:val="0"/>
          <w:marRight w:val="0"/>
          <w:marTop w:val="0"/>
          <w:marBottom w:val="0"/>
          <w:divBdr>
            <w:top w:val="none" w:sz="0" w:space="0" w:color="auto"/>
            <w:left w:val="none" w:sz="0" w:space="0" w:color="auto"/>
            <w:bottom w:val="none" w:sz="0" w:space="0" w:color="auto"/>
            <w:right w:val="none" w:sz="0" w:space="0" w:color="auto"/>
          </w:divBdr>
          <w:divsChild>
            <w:div w:id="1137528856">
              <w:marLeft w:val="0"/>
              <w:marRight w:val="0"/>
              <w:marTop w:val="0"/>
              <w:marBottom w:val="0"/>
              <w:divBdr>
                <w:top w:val="none" w:sz="0" w:space="0" w:color="auto"/>
                <w:left w:val="none" w:sz="0" w:space="0" w:color="auto"/>
                <w:bottom w:val="none" w:sz="0" w:space="0" w:color="auto"/>
                <w:right w:val="none" w:sz="0" w:space="0" w:color="auto"/>
              </w:divBdr>
              <w:divsChild>
                <w:div w:id="4518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25103">
          <w:marLeft w:val="0"/>
          <w:marRight w:val="0"/>
          <w:marTop w:val="0"/>
          <w:marBottom w:val="0"/>
          <w:divBdr>
            <w:top w:val="none" w:sz="0" w:space="0" w:color="auto"/>
            <w:left w:val="none" w:sz="0" w:space="0" w:color="auto"/>
            <w:bottom w:val="none" w:sz="0" w:space="0" w:color="auto"/>
            <w:right w:val="none" w:sz="0" w:space="0" w:color="auto"/>
          </w:divBdr>
          <w:divsChild>
            <w:div w:id="500894476">
              <w:marLeft w:val="0"/>
              <w:marRight w:val="0"/>
              <w:marTop w:val="0"/>
              <w:marBottom w:val="0"/>
              <w:divBdr>
                <w:top w:val="none" w:sz="0" w:space="0" w:color="auto"/>
                <w:left w:val="none" w:sz="0" w:space="0" w:color="auto"/>
                <w:bottom w:val="none" w:sz="0" w:space="0" w:color="auto"/>
                <w:right w:val="none" w:sz="0" w:space="0" w:color="auto"/>
              </w:divBdr>
              <w:divsChild>
                <w:div w:id="18240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5592">
          <w:marLeft w:val="0"/>
          <w:marRight w:val="0"/>
          <w:marTop w:val="0"/>
          <w:marBottom w:val="0"/>
          <w:divBdr>
            <w:top w:val="none" w:sz="0" w:space="0" w:color="auto"/>
            <w:left w:val="none" w:sz="0" w:space="0" w:color="auto"/>
            <w:bottom w:val="none" w:sz="0" w:space="0" w:color="auto"/>
            <w:right w:val="none" w:sz="0" w:space="0" w:color="auto"/>
          </w:divBdr>
          <w:divsChild>
            <w:div w:id="1615598973">
              <w:marLeft w:val="0"/>
              <w:marRight w:val="0"/>
              <w:marTop w:val="0"/>
              <w:marBottom w:val="0"/>
              <w:divBdr>
                <w:top w:val="none" w:sz="0" w:space="0" w:color="auto"/>
                <w:left w:val="none" w:sz="0" w:space="0" w:color="auto"/>
                <w:bottom w:val="none" w:sz="0" w:space="0" w:color="auto"/>
                <w:right w:val="none" w:sz="0" w:space="0" w:color="auto"/>
              </w:divBdr>
              <w:divsChild>
                <w:div w:id="76245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9531">
          <w:marLeft w:val="0"/>
          <w:marRight w:val="0"/>
          <w:marTop w:val="0"/>
          <w:marBottom w:val="0"/>
          <w:divBdr>
            <w:top w:val="none" w:sz="0" w:space="0" w:color="auto"/>
            <w:left w:val="none" w:sz="0" w:space="0" w:color="auto"/>
            <w:bottom w:val="none" w:sz="0" w:space="0" w:color="auto"/>
            <w:right w:val="none" w:sz="0" w:space="0" w:color="auto"/>
          </w:divBdr>
          <w:divsChild>
            <w:div w:id="1496800898">
              <w:marLeft w:val="0"/>
              <w:marRight w:val="0"/>
              <w:marTop w:val="0"/>
              <w:marBottom w:val="0"/>
              <w:divBdr>
                <w:top w:val="none" w:sz="0" w:space="0" w:color="auto"/>
                <w:left w:val="none" w:sz="0" w:space="0" w:color="auto"/>
                <w:bottom w:val="none" w:sz="0" w:space="0" w:color="auto"/>
                <w:right w:val="none" w:sz="0" w:space="0" w:color="auto"/>
              </w:divBdr>
              <w:divsChild>
                <w:div w:id="10289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06970">
          <w:marLeft w:val="0"/>
          <w:marRight w:val="0"/>
          <w:marTop w:val="0"/>
          <w:marBottom w:val="0"/>
          <w:divBdr>
            <w:top w:val="none" w:sz="0" w:space="0" w:color="auto"/>
            <w:left w:val="none" w:sz="0" w:space="0" w:color="auto"/>
            <w:bottom w:val="none" w:sz="0" w:space="0" w:color="auto"/>
            <w:right w:val="none" w:sz="0" w:space="0" w:color="auto"/>
          </w:divBdr>
          <w:divsChild>
            <w:div w:id="754473706">
              <w:marLeft w:val="0"/>
              <w:marRight w:val="0"/>
              <w:marTop w:val="0"/>
              <w:marBottom w:val="0"/>
              <w:divBdr>
                <w:top w:val="none" w:sz="0" w:space="0" w:color="auto"/>
                <w:left w:val="none" w:sz="0" w:space="0" w:color="auto"/>
                <w:bottom w:val="none" w:sz="0" w:space="0" w:color="auto"/>
                <w:right w:val="none" w:sz="0" w:space="0" w:color="auto"/>
              </w:divBdr>
              <w:divsChild>
                <w:div w:id="204335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7993">
          <w:marLeft w:val="0"/>
          <w:marRight w:val="0"/>
          <w:marTop w:val="0"/>
          <w:marBottom w:val="0"/>
          <w:divBdr>
            <w:top w:val="none" w:sz="0" w:space="0" w:color="auto"/>
            <w:left w:val="none" w:sz="0" w:space="0" w:color="auto"/>
            <w:bottom w:val="none" w:sz="0" w:space="0" w:color="auto"/>
            <w:right w:val="none" w:sz="0" w:space="0" w:color="auto"/>
          </w:divBdr>
          <w:divsChild>
            <w:div w:id="430854825">
              <w:marLeft w:val="0"/>
              <w:marRight w:val="0"/>
              <w:marTop w:val="0"/>
              <w:marBottom w:val="0"/>
              <w:divBdr>
                <w:top w:val="none" w:sz="0" w:space="0" w:color="auto"/>
                <w:left w:val="none" w:sz="0" w:space="0" w:color="auto"/>
                <w:bottom w:val="none" w:sz="0" w:space="0" w:color="auto"/>
                <w:right w:val="none" w:sz="0" w:space="0" w:color="auto"/>
              </w:divBdr>
              <w:divsChild>
                <w:div w:id="528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5979">
      <w:bodyDiv w:val="1"/>
      <w:marLeft w:val="0"/>
      <w:marRight w:val="0"/>
      <w:marTop w:val="0"/>
      <w:marBottom w:val="0"/>
      <w:divBdr>
        <w:top w:val="none" w:sz="0" w:space="0" w:color="auto"/>
        <w:left w:val="none" w:sz="0" w:space="0" w:color="auto"/>
        <w:bottom w:val="none" w:sz="0" w:space="0" w:color="auto"/>
        <w:right w:val="none" w:sz="0" w:space="0" w:color="auto"/>
      </w:divBdr>
    </w:div>
    <w:div w:id="1442528474">
      <w:bodyDiv w:val="1"/>
      <w:marLeft w:val="0"/>
      <w:marRight w:val="0"/>
      <w:marTop w:val="0"/>
      <w:marBottom w:val="0"/>
      <w:divBdr>
        <w:top w:val="none" w:sz="0" w:space="0" w:color="auto"/>
        <w:left w:val="none" w:sz="0" w:space="0" w:color="auto"/>
        <w:bottom w:val="none" w:sz="0" w:space="0" w:color="auto"/>
        <w:right w:val="none" w:sz="0" w:space="0" w:color="auto"/>
      </w:divBdr>
    </w:div>
    <w:div w:id="1459493049">
      <w:bodyDiv w:val="1"/>
      <w:marLeft w:val="0"/>
      <w:marRight w:val="0"/>
      <w:marTop w:val="0"/>
      <w:marBottom w:val="0"/>
      <w:divBdr>
        <w:top w:val="none" w:sz="0" w:space="0" w:color="auto"/>
        <w:left w:val="none" w:sz="0" w:space="0" w:color="auto"/>
        <w:bottom w:val="none" w:sz="0" w:space="0" w:color="auto"/>
        <w:right w:val="none" w:sz="0" w:space="0" w:color="auto"/>
      </w:divBdr>
    </w:div>
    <w:div w:id="1462726135">
      <w:bodyDiv w:val="1"/>
      <w:marLeft w:val="0"/>
      <w:marRight w:val="0"/>
      <w:marTop w:val="0"/>
      <w:marBottom w:val="0"/>
      <w:divBdr>
        <w:top w:val="none" w:sz="0" w:space="0" w:color="auto"/>
        <w:left w:val="none" w:sz="0" w:space="0" w:color="auto"/>
        <w:bottom w:val="none" w:sz="0" w:space="0" w:color="auto"/>
        <w:right w:val="none" w:sz="0" w:space="0" w:color="auto"/>
      </w:divBdr>
    </w:div>
    <w:div w:id="1579900036">
      <w:bodyDiv w:val="1"/>
      <w:marLeft w:val="0"/>
      <w:marRight w:val="0"/>
      <w:marTop w:val="0"/>
      <w:marBottom w:val="0"/>
      <w:divBdr>
        <w:top w:val="none" w:sz="0" w:space="0" w:color="auto"/>
        <w:left w:val="none" w:sz="0" w:space="0" w:color="auto"/>
        <w:bottom w:val="none" w:sz="0" w:space="0" w:color="auto"/>
        <w:right w:val="none" w:sz="0" w:space="0" w:color="auto"/>
      </w:divBdr>
    </w:div>
    <w:div w:id="1622152468">
      <w:bodyDiv w:val="1"/>
      <w:marLeft w:val="0"/>
      <w:marRight w:val="0"/>
      <w:marTop w:val="0"/>
      <w:marBottom w:val="0"/>
      <w:divBdr>
        <w:top w:val="none" w:sz="0" w:space="0" w:color="auto"/>
        <w:left w:val="none" w:sz="0" w:space="0" w:color="auto"/>
        <w:bottom w:val="none" w:sz="0" w:space="0" w:color="auto"/>
        <w:right w:val="none" w:sz="0" w:space="0" w:color="auto"/>
      </w:divBdr>
    </w:div>
    <w:div w:id="1746410804">
      <w:bodyDiv w:val="1"/>
      <w:marLeft w:val="0"/>
      <w:marRight w:val="0"/>
      <w:marTop w:val="0"/>
      <w:marBottom w:val="0"/>
      <w:divBdr>
        <w:top w:val="none" w:sz="0" w:space="0" w:color="auto"/>
        <w:left w:val="none" w:sz="0" w:space="0" w:color="auto"/>
        <w:bottom w:val="none" w:sz="0" w:space="0" w:color="auto"/>
        <w:right w:val="none" w:sz="0" w:space="0" w:color="auto"/>
      </w:divBdr>
    </w:div>
    <w:div w:id="178003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article/n/tsentr-osnovnyh-interesov-dolzhnika-v-transgranichnom-bankrotst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6F211-2493-4D0A-97DF-F2CE41127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19</Pages>
  <Words>4123</Words>
  <Characters>23507</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Tommyhellatrigger</dc:creator>
  <cp:keywords/>
  <dc:description/>
  <cp:lastModifiedBy>Tommyhellatrigger</cp:lastModifiedBy>
  <cp:revision>7</cp:revision>
  <dcterms:created xsi:type="dcterms:W3CDTF">2025-11-10T02:28:00Z</dcterms:created>
  <dcterms:modified xsi:type="dcterms:W3CDTF">2025-11-18T13:03:00Z</dcterms:modified>
</cp:coreProperties>
</file>