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8CFC" w14:textId="2E109A7E" w:rsidR="002813ED" w:rsidRDefault="002813ED" w:rsidP="002813ED">
      <w:r>
        <w:t>The design choices implemented in this visualization dashboard prioritize clarity and impact through a structured, multi-level data exploration approach. For the static visualizations, I utilized perceptually uniform color palettes like '</w:t>
      </w:r>
      <w:proofErr w:type="spellStart"/>
      <w:r>
        <w:t>viridis</w:t>
      </w:r>
      <w:proofErr w:type="spellEnd"/>
      <w:r>
        <w:t xml:space="preserve">' to ensure that the data remains interpretable even for users with color vision deficiencies. By applying min-max normalization during the preprocessing phase, I ensured that the visualizations </w:t>
      </w:r>
      <w:r w:rsidR="00A31B88">
        <w:t>use</w:t>
      </w:r>
      <w:r>
        <w:t xml:space="preserve"> accurate comparisons across countries with vastly different population scales. This choice allows the viewer to focus on relative trends and growth patterns rather than having the visual space </w:t>
      </w:r>
      <w:r w:rsidR="00A31B88">
        <w:t>made solely of</w:t>
      </w:r>
      <w:r>
        <w:t xml:space="preserve"> nations with the highest raw death counts. Additionally,</w:t>
      </w:r>
      <w:r w:rsidR="00A31B88">
        <w:t xml:space="preserve"> clear</w:t>
      </w:r>
      <w:r>
        <w:t xml:space="preserve"> axis labels, titles, and legends ensures that the insights are conveyed effectively to both technical and non-technical stakeholders.</w:t>
      </w:r>
    </w:p>
    <w:p w14:paraId="0C6FB375" w14:textId="4E03A5F8" w:rsidR="002813ED" w:rsidRDefault="002813ED" w:rsidP="002813ED">
      <w:r>
        <w:t xml:space="preserve">Implementing interactivity and animation presented several technical challenges, particularly regarding data density and performance. One significant hurdle was managing the computational load of the </w:t>
      </w:r>
      <w:proofErr w:type="spellStart"/>
      <w:r>
        <w:t>Plotly</w:t>
      </w:r>
      <w:proofErr w:type="spellEnd"/>
      <w:r>
        <w:t xml:space="preserve"> visualizations when processing high-frequency time-series data, which initially caused latency in the notebook environment. I addressed this by utilizing the '</w:t>
      </w:r>
      <w:proofErr w:type="spellStart"/>
      <w:r>
        <w:t>Overview+Detail</w:t>
      </w:r>
      <w:proofErr w:type="spellEnd"/>
      <w:r>
        <w:t xml:space="preserve">' technique, which separates broad global aggregates from country-specific data. This reduced the number of traces rendered in a single view while maintaining the narrative flow of the data. Another challenge involved the Matplotlib animation, where daily fluctuations created a jittery visual effect and a large file size. I resolved this by </w:t>
      </w:r>
      <w:proofErr w:type="spellStart"/>
      <w:r>
        <w:t>downsampling</w:t>
      </w:r>
      <w:proofErr w:type="spellEnd"/>
      <w:r>
        <w:t xml:space="preserve"> the records to a weekly frequency, which smoothed the transitions and optimized the animation for web-based rendering without sacrificing the integrity of the long-term trends.</w:t>
      </w:r>
    </w:p>
    <w:p w14:paraId="56D54C82" w14:textId="344450D8" w:rsidR="008B1BFC" w:rsidRPr="002813ED" w:rsidRDefault="002813ED" w:rsidP="002813ED">
      <w:r>
        <w:t xml:space="preserve">Accessibility and cognitive load considerations were central to the design of each visualization. To minimize cognitive load, I employed 'details-on-demand' strategies through interactive hover tooltips, allowing the primary visual interface to remain clean and uncluttered. This prevents information overload by presenting a high-level summary initially and providing </w:t>
      </w:r>
      <w:r>
        <w:lastRenderedPageBreak/>
        <w:t>specific data points only when the user interacts with the chart. The 'drill-down' and 'zoom' features further support this by allowing users to focus on specific time ranges, reducing the amount of simultaneous information they must process. By incorporating high-contrast color schemes and organized layouts, the dashboard ensures that complex multi-dimensional data is presented in a digestible format that is both accessible and cognitively efficient.</w:t>
      </w:r>
    </w:p>
    <w:sectPr w:rsidR="008B1BFC" w:rsidRPr="00281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658F"/>
    <w:multiLevelType w:val="multilevel"/>
    <w:tmpl w:val="EA1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F1E09"/>
    <w:multiLevelType w:val="hybridMultilevel"/>
    <w:tmpl w:val="055AC9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252619">
    <w:abstractNumId w:val="0"/>
  </w:num>
  <w:num w:numId="2" w16cid:durableId="202273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33"/>
    <w:rsid w:val="000668FF"/>
    <w:rsid w:val="000C7216"/>
    <w:rsid w:val="000C73BE"/>
    <w:rsid w:val="001411F1"/>
    <w:rsid w:val="00142B04"/>
    <w:rsid w:val="00247321"/>
    <w:rsid w:val="00271802"/>
    <w:rsid w:val="002813ED"/>
    <w:rsid w:val="002D56B6"/>
    <w:rsid w:val="003201B8"/>
    <w:rsid w:val="00333BCD"/>
    <w:rsid w:val="005028F5"/>
    <w:rsid w:val="00507B1B"/>
    <w:rsid w:val="00534BD5"/>
    <w:rsid w:val="00572C33"/>
    <w:rsid w:val="006A7313"/>
    <w:rsid w:val="00701A8A"/>
    <w:rsid w:val="00794F04"/>
    <w:rsid w:val="007B0233"/>
    <w:rsid w:val="00814AC7"/>
    <w:rsid w:val="008332A8"/>
    <w:rsid w:val="008B1BFC"/>
    <w:rsid w:val="0091591D"/>
    <w:rsid w:val="00957361"/>
    <w:rsid w:val="00A31B88"/>
    <w:rsid w:val="00A45042"/>
    <w:rsid w:val="00A82E21"/>
    <w:rsid w:val="00A900A6"/>
    <w:rsid w:val="00B32CE2"/>
    <w:rsid w:val="00B53CF0"/>
    <w:rsid w:val="00B56B84"/>
    <w:rsid w:val="00BC6279"/>
    <w:rsid w:val="00BC6B84"/>
    <w:rsid w:val="00C0069E"/>
    <w:rsid w:val="00C05F02"/>
    <w:rsid w:val="00C1013C"/>
    <w:rsid w:val="00C907B8"/>
    <w:rsid w:val="00CC315E"/>
    <w:rsid w:val="00CE156A"/>
    <w:rsid w:val="00D26C24"/>
    <w:rsid w:val="00D52806"/>
    <w:rsid w:val="00D77A46"/>
    <w:rsid w:val="00DF5C0E"/>
    <w:rsid w:val="00E31B31"/>
    <w:rsid w:val="00ED7676"/>
    <w:rsid w:val="00F65072"/>
    <w:rsid w:val="00F8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CECC"/>
  <w15:chartTrackingRefBased/>
  <w15:docId w15:val="{AFFD2E5F-5F0A-436E-864D-8E8458AA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CF0"/>
    <w:pPr>
      <w:spacing w:after="0" w:line="480" w:lineRule="auto"/>
      <w:ind w:firstLine="720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2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2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2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2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23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23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233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B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3661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Genz</dc:creator>
  <cp:keywords/>
  <dc:description/>
  <cp:lastModifiedBy>Tim Genz</cp:lastModifiedBy>
  <cp:revision>20</cp:revision>
  <dcterms:created xsi:type="dcterms:W3CDTF">2026-01-22T00:24:00Z</dcterms:created>
  <dcterms:modified xsi:type="dcterms:W3CDTF">2026-03-13T13:52:00Z</dcterms:modified>
</cp:coreProperties>
</file>