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3684" w:rsidRDefault="00000000">
      <w:pPr>
        <w:pStyle w:val="Title"/>
      </w:pPr>
      <w:bookmarkStart w:id="0" w:name="_kzloi73epc14" w:colFirst="0" w:colLast="0"/>
      <w:bookmarkEnd w:id="0"/>
      <w:r>
        <w:t>Analyzing the Relationship Between Industrial Energy Demand and AI Infrastructure Investment</w:t>
      </w:r>
    </w:p>
    <w:p w14:paraId="00000002" w14:textId="77777777" w:rsidR="00DA3684" w:rsidRDefault="00000000">
      <w:pPr>
        <w:jc w:val="center"/>
      </w:pPr>
      <w:r>
        <w:t>Timothy J. Genz</w:t>
      </w:r>
    </w:p>
    <w:p w14:paraId="00000003" w14:textId="77777777" w:rsidR="00DA3684" w:rsidRDefault="00000000">
      <w:pPr>
        <w:jc w:val="center"/>
      </w:pPr>
      <w:r>
        <w:t>Southern New Hampshire University</w:t>
      </w:r>
    </w:p>
    <w:p w14:paraId="00000004" w14:textId="77777777" w:rsidR="00DA3684" w:rsidRDefault="00000000">
      <w:pPr>
        <w:jc w:val="center"/>
      </w:pPr>
      <w:r>
        <w:t>CS-540 Data Literacy and Visualization</w:t>
      </w:r>
    </w:p>
    <w:p w14:paraId="00000005" w14:textId="77777777" w:rsidR="00DA3684" w:rsidRDefault="00000000">
      <w:pPr>
        <w:jc w:val="center"/>
      </w:pPr>
      <w:r>
        <w:t>Mahmoud Al-Khassaweneh</w:t>
      </w:r>
    </w:p>
    <w:p w14:paraId="00000006" w14:textId="1C946460" w:rsidR="00DA3684" w:rsidRDefault="00000000">
      <w:pPr>
        <w:jc w:val="center"/>
        <w:sectPr w:rsidR="00DA3684">
          <w:headerReference w:type="default" r:id="rId6"/>
          <w:headerReference w:type="first" r:id="rId7"/>
          <w:pgSz w:w="12240" w:h="15840"/>
          <w:pgMar w:top="1440" w:right="1440" w:bottom="1440" w:left="1440" w:header="720" w:footer="720" w:gutter="0"/>
          <w:pgNumType w:start="1"/>
          <w:cols w:space="720"/>
        </w:sectPr>
      </w:pPr>
      <w:r>
        <w:t xml:space="preserve">April </w:t>
      </w:r>
      <w:r w:rsidR="006F046B">
        <w:t>5</w:t>
      </w:r>
      <w:r>
        <w:t>, 2026</w:t>
      </w:r>
    </w:p>
    <w:p w14:paraId="00000007" w14:textId="77777777" w:rsidR="00DA3684" w:rsidRDefault="00000000">
      <w:pPr>
        <w:pStyle w:val="Heading1"/>
      </w:pPr>
      <w:bookmarkStart w:id="1" w:name="_5v87ulbhcvg0" w:colFirst="0" w:colLast="0"/>
      <w:bookmarkEnd w:id="1"/>
      <w:r>
        <w:lastRenderedPageBreak/>
        <w:t>Part One: Data Preparation and Visualizations</w:t>
      </w:r>
    </w:p>
    <w:p w14:paraId="00000008" w14:textId="77777777" w:rsidR="00DA3684" w:rsidRDefault="00000000">
      <w:pPr>
        <w:pStyle w:val="Heading2"/>
      </w:pPr>
      <w:bookmarkStart w:id="2" w:name="_qeiluyctlhuq" w:colFirst="0" w:colLast="0"/>
      <w:bookmarkEnd w:id="2"/>
      <w:r>
        <w:t>Data Identification and Quality Evaluation</w:t>
      </w:r>
    </w:p>
    <w:p w14:paraId="00000009" w14:textId="77777777" w:rsidR="00DA3684" w:rsidRDefault="00000000">
      <w:pPr>
        <w:ind w:firstLine="720"/>
      </w:pPr>
      <w:r>
        <w:t>The analysis utilizes two highly reputable datasets to ensure the integrity of the findings. The primary energy consumption data is sourced directly from the U.S. Energy Information Administration (EIA) API v2 using the TETCBUS identifier. This dataset provides official monthly tracking of total energy consumption within the United States. To represent digital infrastructure demand, the analysis incorporates a complete historical record of NVIDIA (NVDA) stock prices retrieved from Kaggle, which comprises 2,577 daily trading rows.</w:t>
      </w:r>
    </w:p>
    <w:p w14:paraId="0000000A" w14:textId="77777777" w:rsidR="00DA3684" w:rsidRDefault="00000000">
      <w:pPr>
        <w:ind w:firstLine="720"/>
      </w:pPr>
      <w:r>
        <w:t>An evaluation of data quality indicates that both datasets provided consistent and overlapping coverage for the 120-month period analyzed. Upon inspection, there were no significant missing values or anomalies in the specific metrics utilized for blending, which included the Monthly BTU Value and the Monthly Adjusted Close Price. Because the EIA is the federal authority on energy statistics and the Kaggle financial data is a direct reflection of historical market closes, the data quality is considered high for the purposes of organizational decision-making.</w:t>
      </w:r>
    </w:p>
    <w:p w14:paraId="0000000B" w14:textId="77777777" w:rsidR="00DA3684" w:rsidRDefault="00000000">
      <w:pPr>
        <w:pStyle w:val="Heading2"/>
      </w:pPr>
      <w:bookmarkStart w:id="3" w:name="_fno80xt18fy9" w:colFirst="0" w:colLast="0"/>
      <w:bookmarkEnd w:id="3"/>
      <w:r>
        <w:t>Data Preprocessing and Integration Techniques</w:t>
      </w:r>
    </w:p>
    <w:p w14:paraId="0000000C" w14:textId="77777777" w:rsidR="00DA3684" w:rsidRDefault="00000000">
      <w:pPr>
        <w:ind w:firstLine="720"/>
      </w:pPr>
      <w:r>
        <w:t>To integrate these disparate data collections into a single integrated collection, several preprocessing techniques were applied within the Codio environment. First, "13th-month" annual totals were filtered out of the EIA dataset to maintain a true monthly cadence and prevent artificial spikes in the time-series analysis. Second, because financial data is recorded daily, the NVIDIA stock prices were resampled to Monthly Starts using the mean value of the adjusted close. This alignment was necessary to match the monthly reporting structure of the national energy consumption data.</w:t>
      </w:r>
    </w:p>
    <w:p w14:paraId="0000000D" w14:textId="5CDF7383" w:rsidR="00DA3684" w:rsidRDefault="00000000">
      <w:pPr>
        <w:ind w:firstLine="720"/>
      </w:pPr>
      <w:r>
        <w:lastRenderedPageBreak/>
        <w:t>Following the alignment of temporal frequencies, an inner join was performed on the timestamp index to create a unified collection of 120 rows. This ensured that only months with data available in both sets were included in the final analysis. Finally, because the datasets utilize vastly different units of measurement</w:t>
      </w:r>
      <w:r w:rsidR="00500AE8">
        <w:t xml:space="preserve">, </w:t>
      </w:r>
      <w:r>
        <w:t>specifically U.S. Dollars and British Thermal Units</w:t>
      </w:r>
      <w:r w:rsidR="00500AE8">
        <w:t xml:space="preserve">, </w:t>
      </w:r>
      <w:r>
        <w:t>all values were transformed via normalization to a 0-to-1 scale. This normalization technique is essential for revealing key trends, as it allows for an accurate comparison of growth rates and variance across two different industries.</w:t>
      </w:r>
    </w:p>
    <w:p w14:paraId="0000000E" w14:textId="77777777" w:rsidR="00DA3684" w:rsidRDefault="00000000">
      <w:pPr>
        <w:pStyle w:val="Heading2"/>
      </w:pPr>
      <w:bookmarkStart w:id="4" w:name="_7cjgakktxbjq" w:colFirst="0" w:colLast="0"/>
      <w:bookmarkEnd w:id="4"/>
      <w:r>
        <w:t>Key Insights and Multi-Level Data Modeling</w:t>
      </w:r>
    </w:p>
    <w:p w14:paraId="0000000F" w14:textId="77777777" w:rsidR="00DA3684" w:rsidRDefault="00000000">
      <w:pPr>
        <w:ind w:firstLine="720"/>
      </w:pPr>
      <w:r>
        <w:t>To communicate these findings, the project utilizes multi-level data modeling. A high-level visualization provides a broad overview for Executive Leadership by using a 12-month rolling average to smooth out volatility and highlight long-term strategic trends. This is contrasted by a detailed, insight-focused visualization created for Operations and Facilities Management. This detailed model incorporates a scatter and line plot to highlight raw data points and the specific correlation coefficient, emphasizing the reality of monthly variance for budget forecasting.</w:t>
      </w:r>
    </w:p>
    <w:p w14:paraId="00000010" w14:textId="77777777" w:rsidR="00DA3684" w:rsidRDefault="00000000">
      <w:pPr>
        <w:pStyle w:val="Heading1"/>
      </w:pPr>
      <w:r>
        <w:t>Part Two: Data-Driven Narrative</w:t>
      </w:r>
    </w:p>
    <w:p w14:paraId="00000011" w14:textId="77777777" w:rsidR="00DA3684" w:rsidRDefault="00000000">
      <w:pPr>
        <w:pStyle w:val="Heading2"/>
      </w:pPr>
      <w:bookmarkStart w:id="5" w:name="_qxs412eulsgo" w:colFirst="0" w:colLast="0"/>
      <w:bookmarkEnd w:id="5"/>
      <w:r>
        <w:t>Purpose and Audiences</w:t>
      </w:r>
    </w:p>
    <w:p w14:paraId="00000012" w14:textId="77777777" w:rsidR="00DA3684" w:rsidRDefault="00000000">
      <w:pPr>
        <w:ind w:firstLine="720"/>
      </w:pPr>
      <w:r>
        <w:t>The objective is to analyze the relationship between digital infrastructure investment, represented by NVIDIA stock performance, and the physical baseline of U.S. industrial and commercial energy consumption.</w:t>
      </w:r>
    </w:p>
    <w:p w14:paraId="00000013" w14:textId="77777777" w:rsidR="00DA3684" w:rsidRDefault="00000000">
      <w:pPr>
        <w:pStyle w:val="Heading3"/>
      </w:pPr>
      <w:bookmarkStart w:id="6" w:name="_gl2hgoyergd5" w:colFirst="0" w:colLast="0"/>
      <w:bookmarkEnd w:id="6"/>
      <w:r>
        <w:lastRenderedPageBreak/>
        <w:t>Stakeholder Descriptions</w:t>
      </w:r>
    </w:p>
    <w:p w14:paraId="00000014" w14:textId="77777777" w:rsidR="00DA3684" w:rsidRDefault="00000000">
      <w:pPr>
        <w:ind w:firstLine="720"/>
      </w:pPr>
      <w:r>
        <w:t>Stakeholder Group 1: Executive Leadership (Strategic Overview): This group includes the CEO, CFO, and Board of Directors. They are focused on high-level market trends, long-term sustainability, and the strategic alignment of digital transformation with operational costs.</w:t>
      </w:r>
    </w:p>
    <w:p w14:paraId="00000015" w14:textId="77777777" w:rsidR="00DA3684" w:rsidRDefault="00000000">
      <w:pPr>
        <w:ind w:firstLine="720"/>
      </w:pPr>
      <w:r>
        <w:t>Stakeholder Group 2: Operations &amp; Facilities Management (Tactical Insights): This group includes the Chief Operating Officer (COO), Facilities Managers, and Sustainability Officers. They require detailed, granular insights into energy consumption patterns to plan for peak loads and evaluate efficiency initiatives.</w:t>
      </w:r>
    </w:p>
    <w:p w14:paraId="00000016" w14:textId="77777777" w:rsidR="00DA3684" w:rsidRDefault="00000000">
      <w:pPr>
        <w:pStyle w:val="Heading2"/>
      </w:pPr>
      <w:bookmarkStart w:id="7" w:name="_zfo7zi38j319" w:colFirst="0" w:colLast="0"/>
      <w:bookmarkEnd w:id="7"/>
      <w:r>
        <w:t>The Data-Driven Narrative</w:t>
      </w:r>
    </w:p>
    <w:p w14:paraId="00000017" w14:textId="77777777" w:rsidR="00DA3684" w:rsidRDefault="00000000">
      <w:pPr>
        <w:ind w:firstLine="720"/>
      </w:pPr>
      <w:r>
        <w:t>The narrative, titled Digital Infrastructure versus Physical Load, synthesized 120 months of normalized data to determine if the surge in digital infrastructure investment is driving a corresponding increase in the physical load on the U.S. power grid.</w:t>
      </w:r>
    </w:p>
    <w:p w14:paraId="00000018" w14:textId="77777777" w:rsidR="00DA3684" w:rsidRDefault="00000000">
      <w:pPr>
        <w:pStyle w:val="Heading2"/>
      </w:pPr>
      <w:bookmarkStart w:id="8" w:name="_vew1bif2lusx" w:colFirst="0" w:colLast="0"/>
      <w:bookmarkEnd w:id="8"/>
      <w:r>
        <w:t>Evaluating Visualization Effectiveness</w:t>
      </w:r>
    </w:p>
    <w:p w14:paraId="00000019" w14:textId="77777777" w:rsidR="00DA3684" w:rsidRDefault="00000000">
      <w:pPr>
        <w:ind w:firstLine="720"/>
      </w:pPr>
      <w:r>
        <w:t>The chosen visualizations are effective because they use normalization. Because stock prices are measured in dollars and energy in BTUs, normalization allows us to compare their growth rates on a unified 0-to-1 scale. Without this, the massive scale of energy units would flatline the stock data, or vice-versa.</w:t>
      </w:r>
    </w:p>
    <w:p w14:paraId="0000001A" w14:textId="77777777" w:rsidR="00DA3684" w:rsidRDefault="00000000">
      <w:pPr>
        <w:pStyle w:val="Heading2"/>
      </w:pPr>
      <w:bookmarkStart w:id="9" w:name="_3i3f9936328q" w:colFirst="0" w:colLast="0"/>
      <w:bookmarkEnd w:id="9"/>
      <w:r>
        <w:t>Customizing Visualizations for Audience</w:t>
      </w:r>
    </w:p>
    <w:p w14:paraId="0000001B" w14:textId="77777777" w:rsidR="00DA3684" w:rsidRDefault="00000000">
      <w:pPr>
        <w:pStyle w:val="Heading3"/>
      </w:pPr>
      <w:bookmarkStart w:id="10" w:name="_76nwgax1akf6" w:colFirst="0" w:colLast="0"/>
      <w:bookmarkEnd w:id="10"/>
      <w:r>
        <w:t>Justification of Customization Choices</w:t>
      </w:r>
    </w:p>
    <w:p w14:paraId="0000001C" w14:textId="54A7D92C" w:rsidR="00DA3684" w:rsidRDefault="00000000">
      <w:pPr>
        <w:ind w:firstLine="720"/>
      </w:pPr>
      <w:r>
        <w:t>The use of rolling averages and mean lines was prioritized for the Leadership group. This removes "noise" and highlights the long-term trend, which is the primary concern for multi-year strategic planning.</w:t>
      </w:r>
    </w:p>
    <w:p w14:paraId="0000001D" w14:textId="4643470C" w:rsidR="00DA3684" w:rsidRDefault="00000000">
      <w:pPr>
        <w:ind w:firstLine="720"/>
      </w:pPr>
      <w:r>
        <w:lastRenderedPageBreak/>
        <w:t>The inclusion of individual data points through scatter and line plots, along with correlation text boxes, was prioritized for the Operations group. This approach highlights the reality of monthly variance, demonstrating to facility managers that even during a period of rapid technological expansion, seasonal energy peaks remain the primary operational risk.</w:t>
      </w:r>
    </w:p>
    <w:p w14:paraId="0000001E" w14:textId="77777777" w:rsidR="00DA3684" w:rsidRDefault="00000000">
      <w:pPr>
        <w:pStyle w:val="Heading1"/>
        <w:pageBreakBefore/>
      </w:pPr>
      <w:bookmarkStart w:id="11" w:name="_o1l8iomv2m4b" w:colFirst="0" w:colLast="0"/>
      <w:bookmarkEnd w:id="11"/>
      <w:r>
        <w:lastRenderedPageBreak/>
        <w:t>References</w:t>
      </w:r>
    </w:p>
    <w:p w14:paraId="0000001F" w14:textId="68248D4D" w:rsidR="00DA3684" w:rsidRDefault="00000000" w:rsidP="008A148B">
      <w:pPr>
        <w:ind w:left="720" w:hanging="720"/>
      </w:pPr>
      <w:r>
        <w:t xml:space="preserve">Kaggle. (2026). </w:t>
      </w:r>
      <w:r>
        <w:rPr>
          <w:i/>
          <w:iCs/>
        </w:rPr>
        <w:t xml:space="preserve">NVIDIA (NVDA) </w:t>
      </w:r>
      <w:r w:rsidR="008A148B">
        <w:rPr>
          <w:i/>
          <w:iCs/>
        </w:rPr>
        <w:t>S</w:t>
      </w:r>
      <w:r>
        <w:rPr>
          <w:i/>
          <w:iCs/>
        </w:rPr>
        <w:t xml:space="preserve">tock </w:t>
      </w:r>
      <w:r w:rsidR="008A148B">
        <w:rPr>
          <w:i/>
          <w:iCs/>
        </w:rPr>
        <w:t>H</w:t>
      </w:r>
      <w:r>
        <w:rPr>
          <w:i/>
          <w:iCs/>
        </w:rPr>
        <w:t xml:space="preserve">istorical </w:t>
      </w:r>
      <w:r w:rsidR="008A148B">
        <w:rPr>
          <w:i/>
          <w:iCs/>
        </w:rPr>
        <w:t>P</w:t>
      </w:r>
      <w:r>
        <w:rPr>
          <w:i/>
          <w:iCs/>
        </w:rPr>
        <w:t xml:space="preserve">rice </w:t>
      </w:r>
      <w:r w:rsidR="008A148B">
        <w:rPr>
          <w:i/>
          <w:iCs/>
        </w:rPr>
        <w:t>D</w:t>
      </w:r>
      <w:r>
        <w:rPr>
          <w:i/>
          <w:iCs/>
        </w:rPr>
        <w:t>ata</w:t>
      </w:r>
      <w:r>
        <w:t>. [Data set]. https://www.kaggle.com/datasets/caesarmario/nvidia-stock-historical-price</w:t>
      </w:r>
    </w:p>
    <w:p w14:paraId="00000020" w14:textId="51DCA3FA" w:rsidR="00DA3684" w:rsidRDefault="00000000" w:rsidP="008A148B">
      <w:pPr>
        <w:ind w:left="720" w:hanging="720"/>
      </w:pPr>
      <w:r>
        <w:t xml:space="preserve">U.S. Energy Information Administration. (2026). </w:t>
      </w:r>
      <w:r>
        <w:rPr>
          <w:i/>
          <w:iCs/>
        </w:rPr>
        <w:t xml:space="preserve">Monthly </w:t>
      </w:r>
      <w:r w:rsidR="008A148B">
        <w:rPr>
          <w:i/>
          <w:iCs/>
        </w:rPr>
        <w:t>E</w:t>
      </w:r>
      <w:r>
        <w:rPr>
          <w:i/>
          <w:iCs/>
        </w:rPr>
        <w:t xml:space="preserve">nergy </w:t>
      </w:r>
      <w:r w:rsidR="008A148B">
        <w:rPr>
          <w:i/>
          <w:iCs/>
        </w:rPr>
        <w:t>R</w:t>
      </w:r>
      <w:r>
        <w:rPr>
          <w:i/>
          <w:iCs/>
        </w:rPr>
        <w:t>eview, Table 2.1 (U.S. commercial and industrial energy consumption)</w:t>
      </w:r>
      <w:r>
        <w:t>. https://www.eia.gov/totalenergy/data/monthly/</w:t>
      </w:r>
    </w:p>
    <w:p w14:paraId="00000021" w14:textId="77777777" w:rsidR="00DA3684" w:rsidRDefault="00DA3684">
      <w:pPr>
        <w:pBdr>
          <w:top w:val="nil"/>
          <w:left w:val="nil"/>
          <w:bottom w:val="nil"/>
          <w:right w:val="nil"/>
          <w:between w:val="nil"/>
        </w:pBdr>
        <w:ind w:left="720" w:hanging="720"/>
      </w:pPr>
    </w:p>
    <w:sectPr w:rsidR="00DA36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04B4" w14:textId="77777777" w:rsidR="000A2CA4" w:rsidRDefault="000A2CA4">
      <w:pPr>
        <w:spacing w:line="240" w:lineRule="auto"/>
      </w:pPr>
      <w:r>
        <w:separator/>
      </w:r>
    </w:p>
  </w:endnote>
  <w:endnote w:type="continuationSeparator" w:id="0">
    <w:p w14:paraId="1617A5F0" w14:textId="77777777" w:rsidR="000A2CA4" w:rsidRDefault="000A2C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9FE457-E038-40F8-AEC0-A8BDE208B90D}"/>
  </w:font>
  <w:font w:name="Cambria">
    <w:panose1 w:val="02040503050406030204"/>
    <w:charset w:val="00"/>
    <w:family w:val="roman"/>
    <w:pitch w:val="variable"/>
    <w:sig w:usb0="E00006FF" w:usb1="420024FF" w:usb2="02000000" w:usb3="00000000" w:csb0="0000019F" w:csb1="00000000"/>
    <w:embedRegular r:id="rId2" w:fontKey="{D7BE8060-9528-4749-BE3D-7FF30CE78D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8941" w14:textId="77777777" w:rsidR="000A2CA4" w:rsidRDefault="000A2CA4">
      <w:pPr>
        <w:spacing w:line="240" w:lineRule="auto"/>
      </w:pPr>
      <w:r>
        <w:separator/>
      </w:r>
    </w:p>
  </w:footnote>
  <w:footnote w:type="continuationSeparator" w:id="0">
    <w:p w14:paraId="788B0EBD" w14:textId="77777777" w:rsidR="000A2CA4" w:rsidRDefault="000A2C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1C1BB190" w:rsidR="00DA3684" w:rsidRDefault="00000000">
    <w:pPr>
      <w:pBdr>
        <w:top w:val="nil"/>
        <w:left w:val="nil"/>
        <w:bottom w:val="nil"/>
        <w:right w:val="nil"/>
        <w:between w:val="nil"/>
      </w:pBdr>
      <w:tabs>
        <w:tab w:val="right" w:pos="9360"/>
      </w:tabs>
    </w:pPr>
    <w:r>
      <w:tab/>
    </w:r>
    <w:r>
      <w:fldChar w:fldCharType="begin"/>
    </w:r>
    <w:r>
      <w:instrText>PAGE</w:instrText>
    </w:r>
    <w:r>
      <w:fldChar w:fldCharType="separate"/>
    </w:r>
    <w:r w:rsidR="006F046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DA3684"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684"/>
    <w:rsid w:val="000A2CA4"/>
    <w:rsid w:val="00217FDF"/>
    <w:rsid w:val="00334AD0"/>
    <w:rsid w:val="00500AE8"/>
    <w:rsid w:val="006F046B"/>
    <w:rsid w:val="008A148B"/>
    <w:rsid w:val="00DA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9051"/>
  <w15:docId w15:val="{EE7A8911-BCFA-4F1D-BBB4-A853EEFA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color w:val="000000"/>
    </w:rPr>
  </w:style>
  <w:style w:type="paragraph" w:styleId="Heading2">
    <w:name w:val="heading 2"/>
    <w:basedOn w:val="Normal"/>
    <w:next w:val="Normal"/>
    <w:uiPriority w:val="9"/>
    <w:unhideWhenUsed/>
    <w:qFormat/>
    <w:pPr>
      <w:keepNext/>
      <w:keepLines/>
      <w:outlineLvl w:val="1"/>
    </w:pPr>
    <w:rPr>
      <w:b/>
      <w:bCs/>
      <w:color w:val="000000"/>
    </w:rPr>
  </w:style>
  <w:style w:type="paragraph" w:styleId="Heading3">
    <w:name w:val="heading 3"/>
    <w:basedOn w:val="Normal"/>
    <w:next w:val="Normal"/>
    <w:uiPriority w:val="9"/>
    <w:unhideWhenUsed/>
    <w:qFormat/>
    <w:pPr>
      <w:keepNext/>
      <w:keepLines/>
      <w:outlineLvl w:val="2"/>
    </w:pPr>
    <w:rPr>
      <w:b/>
      <w:bCs/>
      <w:i/>
      <w:iCs/>
      <w:color w:val="000000"/>
    </w:rPr>
  </w:style>
  <w:style w:type="paragraph" w:styleId="Heading4">
    <w:name w:val="heading 4"/>
    <w:basedOn w:val="Normal"/>
    <w:next w:val="Normal"/>
    <w:uiPriority w:val="9"/>
    <w:semiHidden/>
    <w:unhideWhenUsed/>
    <w:qFormat/>
    <w:pPr>
      <w:keepNext/>
      <w:keepLines/>
      <w:ind w:firstLine="720"/>
      <w:outlineLvl w:val="3"/>
    </w:pPr>
    <w:rPr>
      <w:b/>
      <w:bCs/>
      <w:i/>
      <w:iCs/>
      <w:color w:val="000000"/>
    </w:rPr>
  </w:style>
  <w:style w:type="paragraph" w:styleId="Heading5">
    <w:name w:val="heading 5"/>
    <w:basedOn w:val="Normal"/>
    <w:next w:val="Normal"/>
    <w:uiPriority w:val="9"/>
    <w:semiHidden/>
    <w:unhideWhenUsed/>
    <w:qFormat/>
    <w:pPr>
      <w:keepNext/>
      <w:keepLines/>
      <w:outlineLvl w:val="4"/>
    </w:pPr>
    <w:rPr>
      <w:i/>
      <w:iCs/>
      <w:color w:val="000000"/>
    </w:rPr>
  </w:style>
  <w:style w:type="paragraph" w:styleId="Heading6">
    <w:name w:val="heading 6"/>
    <w:basedOn w:val="Normal"/>
    <w:next w:val="Normal"/>
    <w:uiPriority w:val="9"/>
    <w:semiHidden/>
    <w:unhideWhenUsed/>
    <w:qFormat/>
    <w:pPr>
      <w:keepNext/>
      <w:keepLines/>
      <w:spacing w:before="16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bCs/>
      <w:color w:val="000000"/>
    </w:rPr>
  </w:style>
  <w:style w:type="paragraph" w:styleId="Subtitle">
    <w:name w:val="Subtitle"/>
    <w:basedOn w:val="Normal"/>
    <w:next w:val="Normal"/>
    <w:uiPriority w:val="11"/>
    <w:qFormat/>
    <w:pPr>
      <w:keepNext/>
      <w:keepLines/>
      <w:jc w:val="center"/>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858</Words>
  <Characters>4893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 Genz</cp:lastModifiedBy>
  <cp:revision>5</cp:revision>
  <dcterms:created xsi:type="dcterms:W3CDTF">2026-04-05T20:11:00Z</dcterms:created>
  <dcterms:modified xsi:type="dcterms:W3CDTF">2026-04-05T20:14:00Z</dcterms:modified>
</cp:coreProperties>
</file>