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300" w:lineRule="auto"/>
        <w:jc w:val="center"/>
      </w:pPr>
      <w:r>
        <w:rPr>
          <w:rFonts w:ascii="宋体" w:hAnsi="宋体" w:eastAsia="宋体"/>
          <w:b/>
          <w:sz w:val="24"/>
        </w:rPr>
        <w:t>东软集团股份有限公司  IT 人才实训中心</w:t>
      </w:r>
    </w:p>
    <w:p>
      <w:pPr>
        <w:spacing w:after="360" w:before="0" w:line="300" w:lineRule="auto"/>
        <w:jc w:val="center"/>
      </w:pPr>
      <w:r>
        <w:rPr>
          <w:rFonts w:ascii="宋体" w:hAnsi="宋体" w:eastAsia="宋体"/>
          <w:b w:val="0"/>
          <w:sz w:val="28"/>
        </w:rPr>
        <w:t>项目交付文档</w:t>
      </w:r>
    </w:p>
    <w:p>
      <w:pPr>
        <w:spacing w:after="160" w:before="0" w:line="300" w:lineRule="auto"/>
        <w:jc w:val="center"/>
      </w:pPr>
      <w:r>
        <w:rPr>
          <w:rFonts w:ascii="黑体" w:hAnsi="黑体" w:eastAsia="黑体"/>
          <w:b/>
          <w:sz w:val="52"/>
        </w:rPr>
        <w:t>智能制造云平台</w:t>
      </w:r>
    </w:p>
    <w:p>
      <w:pPr>
        <w:spacing w:after="240" w:before="0" w:line="300" w:lineRule="auto"/>
        <w:jc w:val="center"/>
      </w:pPr>
      <w:r>
        <w:rPr>
          <w:rFonts w:ascii="黑体" w:hAnsi="黑体" w:eastAsia="黑体"/>
          <w:b/>
          <w:sz w:val="36"/>
        </w:rPr>
        <w:t>项目说明书</w:t>
      </w:r>
    </w:p>
    <w:p>
      <w:pPr>
        <w:spacing w:after="160" w:before="0" w:line="300" w:lineRule="auto"/>
        <w:jc w:val="center"/>
      </w:pPr>
      <w:r>
        <w:rPr>
          <w:rFonts w:ascii="宋体" w:hAnsi="宋体" w:eastAsia="宋体"/>
          <w:b w:val="0"/>
          <w:sz w:val="24"/>
        </w:rPr>
        <w:t>对应文件名：项目说明书-项目名称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88"/>
        <w:gridCol w:w="4788"/>
      </w:tblGrid>
      <w:tr>
        <w:tc>
          <w:tcPr>
            <w:tcW w:type="dxa" w:w="2268"/>
            <w:shd w:fill="1F3A5F" w:val="clear"/>
          </w:tcPr>
          <w:p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项</w:t>
            </w:r>
          </w:p>
        </w:tc>
        <w:tc>
          <w:tcPr>
            <w:tcW w:type="dxa" w:w="7370"/>
            <w:shd w:fill="1F3A5F" w:val="clear"/>
          </w:tcPr>
          <w:p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项目名称</w:t>
            </w:r>
          </w:p>
        </w:tc>
        <w:tc>
          <w:tcPr>
            <w:tcW w:type="dxa" w:w="737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智能制造云平台（制造协同与履约平台）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文档版本</w:t>
            </w:r>
          </w:p>
        </w:tc>
        <w:tc>
          <w:tcPr>
            <w:tcW w:type="dxa" w:w="737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V2.0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编制日期</w:t>
            </w:r>
          </w:p>
        </w:tc>
        <w:tc>
          <w:tcPr>
            <w:tcW w:type="dxa" w:w="737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2026-09-09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小组</w:t>
            </w:r>
          </w:p>
        </w:tc>
        <w:tc>
          <w:tcPr>
            <w:tcW w:type="dxa" w:w="737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第8组    杜青桐、李雨桐、马嘉祺、肖舒予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编制 / 审核</w:t>
            </w:r>
          </w:p>
        </w:tc>
        <w:tc>
          <w:tcPr>
            <w:tcW w:type="dxa" w:w="737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杜青桐 编制；小组成员交叉审核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适用系统</w:t>
            </w:r>
          </w:p>
        </w:tc>
        <w:tc>
          <w:tcPr>
            <w:tcW w:type="dxa" w:w="737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Vue 3 + Spring Boot 3 + MySQL 8  本地演示环境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密级</w:t>
            </w:r>
          </w:p>
        </w:tc>
        <w:tc>
          <w:tcPr>
            <w:tcW w:type="dxa" w:w="737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内部 · 实训提交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color w:val="1F3A5F"/>
        </w:rPr>
        <w:t>1 项目概述</w:t>
      </w:r>
    </w:p>
    <w:p>
      <w:pPr>
        <w:pStyle w:val="Heading2"/>
      </w:pPr>
      <w:r>
        <w:rPr>
          <w:rFonts w:ascii="黑体" w:hAnsi="黑体" w:eastAsia="黑体"/>
          <w:color w:val="1F3A5F"/>
        </w:rPr>
        <w:t>1.1 项目背景</w:t>
      </w:r>
    </w:p>
    <w:p>
      <w:pPr>
        <w:spacing w:after="120" w:before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制造业直接体现生产力水平。大量中小加工企业设备与订单分散，买家难以用统一规则完成外协协同。本项目在云端把买家、工厂、独立质检与平台运营连成同一条履约链路：需求可发布、工厂可竞标、方案可审核、合同可验证、资金可托管、质量有第三方结论。</w:t>
      </w:r>
    </w:p>
    <w:p>
      <w:pPr>
        <w:pStyle w:val="Heading2"/>
      </w:pPr>
      <w:r>
        <w:rPr>
          <w:rFonts w:ascii="黑体" w:hAnsi="黑体" w:eastAsia="黑体"/>
          <w:color w:val="1F3A5F"/>
        </w:rPr>
        <w:t>1.2 项目名称与目标</w:t>
      </w:r>
    </w:p>
    <w:p>
      <w:pPr>
        <w:spacing w:after="120" w:before="0" w:line="300" w:lineRule="auto"/>
        <w:jc w:val="both"/>
      </w:pPr>
      <w:r>
        <w:rPr>
          <w:rFonts w:ascii="宋体" w:hAnsi="宋体" w:eastAsia="宋体"/>
          <w:b w:val="0"/>
          <w:sz w:val="24"/>
        </w:rPr>
        <w:t>项目名称：智能制造云平台。目标不是再做一套报工表，而是把「分散的制造协作」变成「可验证的履约」：每一步有状态，每一笔钱有账本，每一次不合格有人处理。</w:t>
      </w:r>
    </w:p>
    <w:p>
      <w:pPr>
        <w:pStyle w:val="Heading2"/>
      </w:pPr>
      <w:r>
        <w:rPr>
          <w:rFonts w:ascii="黑体" w:hAnsi="黑体" w:eastAsia="黑体"/>
          <w:color w:val="1F3A5F"/>
        </w:rPr>
        <w:t>1.3 关键技术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88"/>
        <w:gridCol w:w="4788"/>
      </w:tblGrid>
      <w:tr>
        <w:tc>
          <w:tcPr>
            <w:tcW w:type="dxa" w:w="1701"/>
            <w:shd w:fill="1F3A5F" w:val="clear"/>
          </w:tcPr>
          <w:p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层次</w:t>
            </w:r>
          </w:p>
        </w:tc>
        <w:tc>
          <w:tcPr>
            <w:tcW w:type="dxa" w:w="7937"/>
            <w:shd w:fill="1F3A5F" w:val="clear"/>
          </w:tcPr>
          <w:p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技术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前端</w:t>
            </w:r>
          </w:p>
        </w:tc>
        <w:tc>
          <w:tcPr>
            <w:tcW w:type="dxa" w:w="793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Vue 3、Vite、Vue Router、Element Plus、Axios、GSAP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管理端</w:t>
            </w:r>
          </w:p>
        </w:tc>
        <w:tc>
          <w:tcPr>
            <w:tcW w:type="dxa" w:w="793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独立 admin-web，与门户同设计语言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后端</w:t>
            </w:r>
          </w:p>
        </w:tc>
        <w:tc>
          <w:tcPr>
            <w:tcW w:type="dxa" w:w="793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Spring Boot 3、Spring Security、JWT、MyBatis-Plus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数据</w:t>
            </w:r>
          </w:p>
        </w:tc>
        <w:tc>
          <w:tcPr>
            <w:tcW w:type="dxa" w:w="793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MySQL 8；启动期 SchemaPatcher 兼容旧库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资金</w:t>
            </w:r>
          </w:p>
        </w:tc>
        <w:tc>
          <w:tcPr>
            <w:tcW w:type="dxa" w:w="793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FundLedger 唯一写入口，幂等号防重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方案</w:t>
            </w:r>
          </w:p>
        </w:tc>
        <w:tc>
          <w:tcPr>
            <w:tcW w:type="dxa" w:w="793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规则生成 + DeepSeek JSON 方案，编号后端重排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扩展</w:t>
            </w:r>
          </w:p>
        </w:tc>
        <w:tc>
          <w:tcPr>
            <w:tcW w:type="dxa" w:w="793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鸿蒙 ArkTS 客户端复用 REST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1F3A5F"/>
        </w:rPr>
        <w:t>1.4 角色与端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2268"/>
            <w:shd w:fill="1F3A5F" w:val="clear"/>
          </w:tcPr>
          <w:p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2268"/>
            <w:shd w:fill="1F3A5F" w:val="clear"/>
          </w:tcPr>
          <w:p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端</w:t>
            </w:r>
          </w:p>
        </w:tc>
        <w:tc>
          <w:tcPr>
            <w:tcW w:type="dxa" w:w="5102"/>
            <w:shd w:fill="1F3A5F" w:val="clear"/>
          </w:tcPr>
          <w:p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职责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买家 BUYER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client-web :5173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发布需求、确认方案、上传并统一下发合同、支付、处置不合格、完工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工厂 FACTORY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client-web :5173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报名报价、下发后签约、报工交付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质检 INSPECTION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admin-web :5174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填写质检单，不出资金结论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运营 / 超管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admin-web :5174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审核、下发方案、审质检、资金明细、用户与日志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color w:val="1F3A5F"/>
        </w:rPr>
        <w:t>2 需求分析</w:t>
      </w:r>
    </w:p>
    <w:p>
      <w:pPr>
        <w:spacing w:after="120" w:before="0" w:line="300" w:lineRule="auto"/>
        <w:jc w:val="both"/>
      </w:pPr>
      <w:r>
        <w:rPr>
          <w:rFonts w:ascii="宋体" w:hAnsi="宋体" w:eastAsia="宋体"/>
          <w:b w:val="0"/>
          <w:sz w:val="24"/>
        </w:rPr>
        <w:t>原始东软订单/计划/工单模型被落实为「需求—竞标—方案—合同—工单—质检—托管—结算」。计划不再由运营手工拆单，而由买家确认的方案件数与分期规则自动拆 work_stage。</w:t>
      </w:r>
    </w:p>
    <w:p>
      <w:pPr>
        <w:pStyle w:val="Heading2"/>
      </w:pPr>
      <w:r>
        <w:rPr>
          <w:rFonts w:ascii="黑体" w:hAnsi="黑体" w:eastAsia="黑体"/>
          <w:color w:val="1F3A5F"/>
        </w:rPr>
        <w:t>2.1 功能结构</w:t>
      </w:r>
    </w:p>
    <w:p>
      <w:pPr>
        <w:spacing w:after="80" w:before="0" w:line="300" w:lineRule="auto"/>
        <w:jc w:val="left"/>
      </w:pPr>
      <w:r>
        <w:rPr>
          <w:rFonts w:ascii="宋体" w:hAnsi="宋体" w:eastAsia="宋体"/>
          <w:b/>
          <w:sz w:val="22"/>
        </w:rPr>
        <w:t>图 2-1  系统功能结构</w:t>
      </w:r>
    </w:p>
    <w:p>
      <w:pPr>
        <w:spacing w:after="200" w:before="0" w:line="276" w:lineRule="auto"/>
        <w:jc w:val="left"/>
      </w:pPr>
      <w:r>
        <w:rPr>
          <w:rFonts w:ascii="等线" w:hAnsi="等线" w:eastAsia="等线"/>
          <w:b w:val="0"/>
          <w:sz w:val="18"/>
        </w:rPr>
        <w:t>智能制造云平台</w:t>
        <w:br/>
        <w:t>├─ 门户（买家/工厂）</w:t>
        <w:br/>
        <w:t>│   ├─ 注册登录 / 企业账户</w:t>
        <w:br/>
        <w:t>│   ├─ 需求发布与详情</w:t>
        <w:br/>
        <w:t>│   ├─ 报名报价 / 方案确认</w:t>
        <w:br/>
        <w:t>│   ├─ 合同上传与统一下发 / 工厂签署</w:t>
        <w:br/>
        <w:t>│   └─ 报工、质检处置、托管、完工</w:t>
        <w:br/>
        <w:t>├─ 运营指挥台</w:t>
        <w:br/>
        <w:t>│   ├─ 需求审核 / AI 方案审核下发</w:t>
        <w:br/>
        <w:t>│   ├─ 质检审核</w:t>
        <w:br/>
        <w:t>│   ├─ 资金总览与四类明细</w:t>
        <w:br/>
        <w:t>│   └─ 用户、设备档案、操作日志</w:t>
        <w:br/>
        <w:t>└─ 领域服务</w:t>
        <w:br/>
        <w:t xml:space="preserve">    ├─ 状态机与时限调度</w:t>
        <w:br/>
        <w:t xml:space="preserve">    ├─ 资金账本 FundLedger</w:t>
        <w:br/>
        <w:t xml:space="preserve">    └─ 信用事件 CreditScoring</w:t>
      </w:r>
    </w:p>
    <w:p>
      <w:pPr>
        <w:pStyle w:val="Heading2"/>
      </w:pPr>
      <w:r>
        <w:rPr>
          <w:rFonts w:ascii="黑体" w:hAnsi="黑体" w:eastAsia="黑体"/>
          <w:color w:val="1F3A5F"/>
        </w:rPr>
        <w:t>2.2 端到端业务流程</w:t>
      </w:r>
    </w:p>
    <w:p>
      <w:pPr>
        <w:spacing w:after="80" w:before="0" w:line="300" w:lineRule="auto"/>
        <w:jc w:val="left"/>
      </w:pPr>
      <w:r>
        <w:rPr>
          <w:rFonts w:ascii="宋体" w:hAnsi="宋体" w:eastAsia="宋体"/>
          <w:b/>
          <w:sz w:val="22"/>
        </w:rPr>
        <w:t>图 2-2  主业务流程图</w:t>
      </w:r>
    </w:p>
    <w:p>
      <w:pPr>
        <w:spacing w:after="200" w:before="0" w:line="276" w:lineRule="auto"/>
        <w:jc w:val="left"/>
      </w:pPr>
      <w:r>
        <w:rPr>
          <w:rFonts w:ascii="等线" w:hAnsi="等线" w:eastAsia="等线"/>
          <w:b w:val="0"/>
          <w:sz w:val="18"/>
        </w:rPr>
        <w:t>开始 → 注册/登录</w:t>
        <w:br/>
        <w:t xml:space="preserve"> → 买家发布需求 → 运营审核</w:t>
        <w:br/>
        <w:t xml:space="preserve"> → 工厂意向报名（锁 1000）</w:t>
        <w:br/>
        <w:t xml:space="preserve"> → 工厂思考期报价（锁 5% 保证金）</w:t>
        <w:br/>
        <w:t xml:space="preserve"> → 买家思考期交 5% 保证金</w:t>
        <w:br/>
        <w:t xml:space="preserve"> → AI/规则出方案（AI1 起）→ 运营一次下发</w:t>
        <w:br/>
        <w:t xml:space="preserve"> → 买家确认 → 48h 按厂上传合同</w:t>
        <w:br/>
        <w:t xml:space="preserve"> → 买家签字统一下发（工厂此前不可见）</w:t>
        <w:br/>
        <w:t xml:space="preserve"> → 工厂 24h 签署 → 买家派单</w:t>
        <w:br/>
        <w:t xml:space="preserve"> → 生产报工 → 付质检费 → 质检填报 → 运营审核</w:t>
        <w:br/>
        <w:t xml:space="preserve">    ├─ PASS → 托管工费 → 问卷 → 全部完成后结算（佣金 1%）</w:t>
        <w:br/>
        <w:t xml:space="preserve">    └─ FAIL → 买家待办：让步 / 返工 / 关闭</w:t>
        <w:br/>
        <w:t xml:space="preserve"> → 结束</w:t>
      </w:r>
    </w:p>
    <w:p>
      <w:pPr>
        <w:pStyle w:val="Heading1"/>
      </w:pPr>
      <w:r>
        <w:rPr>
          <w:rFonts w:ascii="黑体" w:hAnsi="黑体" w:eastAsia="黑体"/>
          <w:color w:val="1F3A5F"/>
        </w:rPr>
        <w:t>3 总体设计</w:t>
      </w:r>
    </w:p>
    <w:p>
      <w:pPr>
        <w:pStyle w:val="Heading2"/>
      </w:pPr>
      <w:r>
        <w:rPr>
          <w:rFonts w:ascii="黑体" w:hAnsi="黑体" w:eastAsia="黑体"/>
          <w:color w:val="1F3A5F"/>
        </w:rPr>
        <w:t>3.1 架构</w:t>
      </w:r>
    </w:p>
    <w:p>
      <w:pPr>
        <w:spacing w:after="120" w:before="0" w:line="300" w:lineRule="auto"/>
        <w:jc w:val="both"/>
      </w:pPr>
      <w:r>
        <w:rPr>
          <w:rFonts w:ascii="宋体" w:hAnsi="宋体" w:eastAsia="宋体"/>
          <w:b w:val="0"/>
          <w:sz w:val="24"/>
        </w:rPr>
        <w:t>前后端分离。Vite 开发服务器把 /api 代理到 8080。后端按领域拆服务：Demand / Bidding / Solution / Contract / Order / Fund / Credit / Notify，禁止在业务服务里直接插资金流水。</w:t>
      </w:r>
    </w:p>
    <w:p>
      <w:pPr>
        <w:pStyle w:val="Heading2"/>
      </w:pPr>
      <w:r>
        <w:rPr>
          <w:rFonts w:ascii="黑体" w:hAnsi="黑体" w:eastAsia="黑体"/>
          <w:color w:val="1F3A5F"/>
        </w:rPr>
        <w:t>3.2 核心数据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88"/>
        <w:gridCol w:w="4788"/>
      </w:tblGrid>
      <w:tr>
        <w:tc>
          <w:tcPr>
            <w:tcW w:type="dxa" w:w="3402"/>
            <w:shd w:fill="1F3A5F" w:val="clear"/>
          </w:tcPr>
          <w:p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表</w:t>
            </w:r>
          </w:p>
        </w:tc>
        <w:tc>
          <w:tcPr>
            <w:tcW w:type="dxa" w:w="6236"/>
            <w:shd w:fill="1F3A5F" w:val="clear"/>
          </w:tcPr>
          <w:p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作用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enterprise / sys_user / account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租户、账号、余额与冻结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demand / process / quotation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需求、工序、报名报价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solution / order / contract / work_stage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方案、订单、一厂一合同、分期工单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inspection / survey / credit_event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质检、互评、信用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fund_flow / notify / audit_log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账本、站内信、审计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1F3A5F"/>
        </w:rPr>
        <w:t>3.3 关键设计决策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2268"/>
            <w:shd w:fill="1F3A5F" w:val="clear"/>
          </w:tcPr>
          <w:p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2268"/>
            <w:shd w:fill="1F3A5F" w:val="clear"/>
          </w:tcPr>
          <w:p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决策</w:t>
            </w:r>
          </w:p>
        </w:tc>
        <w:tc>
          <w:tcPr>
            <w:tcW w:type="dxa" w:w="5102"/>
            <w:shd w:fill="1F3A5F" w:val="clear"/>
          </w:tcPr>
          <w:p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原因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合同何时对工厂可见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买家统一签字后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避免一厂提前拿到文本、其余厂尚未齐套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AI 方案编号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后端按成功套数重排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模型常返回 AI3 或前两套校验失败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托管总览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只计平台租户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买卖双分录全库轧差恒为 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质检与放款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结论与资金分离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质检只判断，运营审核，平台执行已确认结果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信用 type 长度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VARCHAR(32)+启动补丁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HONESTY_INSPECT_FAIL 等超过 16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color w:val="1F3A5F"/>
        </w:rPr>
        <w:t>4 详细设计要点</w:t>
      </w:r>
    </w:p>
    <w:p>
      <w:pPr>
        <w:spacing w:after="120" w:before="0" w:line="300" w:lineRule="auto"/>
        <w:jc w:val="both"/>
      </w:pPr>
      <w:r>
        <w:rPr>
          <w:rFonts w:ascii="宋体" w:hAnsi="宋体" w:eastAsia="宋体"/>
          <w:b w:val="0"/>
          <w:sz w:val="24"/>
        </w:rPr>
        <w:t>合同释放条件：attachmentId 非空 ∧ buyerSign 非空 ∧ order.contractSignEndAt 非空。工厂列表、getMine、factorySign、待办 SIGN_CONTRACT 均按此过滤。资金明细接口 GET /api/fund/details/{INTENTION|DEPOSIT|ESCROW|COMMISSION}。不合格待办查询 work_stage.status=FAIL。</w:t>
      </w:r>
    </w:p>
    <w:p>
      <w:pPr>
        <w:pStyle w:val="Heading2"/>
      </w:pPr>
      <w:r>
        <w:rPr>
          <w:rFonts w:ascii="黑体" w:hAnsi="黑体" w:eastAsia="黑体"/>
          <w:color w:val="1F3A5F"/>
        </w:rPr>
        <w:t>4.1 合同域</w:t>
      </w:r>
    </w:p>
    <w:p>
      <w:pPr>
        <w:spacing w:after="120" w:before="0" w:line="300" w:lineRule="auto"/>
        <w:jc w:val="both"/>
      </w:pPr>
      <w:r>
        <w:rPr>
          <w:rFonts w:ascii="宋体" w:hAnsi="宋体" w:eastAsia="宋体"/>
          <w:b w:val="0"/>
          <w:sz w:val="24"/>
        </w:rPr>
        <w:t>确认方案时按中标工厂各插一条 DRAFT。上传只写附件，不打开工厂可见性。买家签字走 buyerSignAll：校验齐套后批量写 buyerSign，再置 contractSignEndAt=+24h，并清空上传截止。timeoutContractIssue 只处理尚未释放的订单；timeoutContractSign 只罚未签工厂。</w:t>
      </w:r>
    </w:p>
    <w:p>
      <w:pPr>
        <w:pStyle w:val="Heading2"/>
      </w:pPr>
      <w:r>
        <w:rPr>
          <w:rFonts w:ascii="黑体" w:hAnsi="黑体" w:eastAsia="黑体"/>
          <w:color w:val="1F3A5F"/>
        </w:rPr>
        <w:t>4.2 方案编号</w:t>
      </w:r>
    </w:p>
    <w:p>
      <w:pPr>
        <w:spacing w:after="120" w:before="0" w:line="300" w:lineRule="auto"/>
        <w:jc w:val="both"/>
      </w:pPr>
      <w:r>
        <w:rPr>
          <w:rFonts w:ascii="宋体" w:hAnsi="宋体" w:eastAsia="宋体"/>
          <w:b w:val="0"/>
          <w:sz w:val="24"/>
        </w:rPr>
        <w:t>AiSolutionGenerator 对模型返回的 type 不信任。hydrate 失败的套直接丢弃。成功套按插入顺序强制 type="AI"+序号，保证运营审核页从 AI1 起编。</w:t>
      </w:r>
    </w:p>
    <w:p>
      <w:pPr>
        <w:pStyle w:val="Heading2"/>
      </w:pPr>
      <w:r>
        <w:rPr>
          <w:rFonts w:ascii="黑体" w:hAnsi="黑体" w:eastAsia="黑体"/>
          <w:color w:val="1F3A5F"/>
        </w:rPr>
        <w:t>4.3 资金口径</w:t>
      </w:r>
    </w:p>
    <w:p>
      <w:pPr>
        <w:spacing w:after="120" w:before="0" w:line="300" w:lineRule="auto"/>
        <w:jc w:val="both"/>
      </w:pPr>
      <w:r>
        <w:rPr>
          <w:rFonts w:ascii="宋体" w:hAnsi="宋体" w:eastAsia="宋体"/>
          <w:b w:val="0"/>
          <w:sz w:val="24"/>
        </w:rPr>
        <w:t>escrowStage 写买家 ESCROW/OUT 与平台 ESCROW/IN。overview.platformEscrow 只聚合平台 tenant。保证金冻结含 DEPOSIT 与 BUYER_DEPOSIT。byDemand 先用 orderId 回填 demandId，避免托管行从需求流水消失。</w:t>
      </w:r>
    </w:p>
    <w:p>
      <w:pPr>
        <w:pStyle w:val="Heading2"/>
      </w:pPr>
      <w:r>
        <w:rPr>
          <w:rFonts w:ascii="黑体" w:hAnsi="黑体" w:eastAsia="黑体"/>
          <w:color w:val="1F3A5F"/>
        </w:rPr>
        <w:t>4.4 质检与待办</w:t>
      </w:r>
    </w:p>
    <w:p>
      <w:pPr>
        <w:spacing w:after="120" w:before="0" w:line="300" w:lineRule="auto"/>
        <w:jc w:val="both"/>
      </w:pPr>
      <w:r>
        <w:rPr>
          <w:rFonts w:ascii="宋体" w:hAnsi="宋体" w:eastAsia="宋体"/>
          <w:b w:val="0"/>
          <w:sz w:val="24"/>
        </w:rPr>
        <w:t>approveInspect 在同一事务写工单 FAIL、QUALITY_FAIL、HONESTY_INSPECT_FAIL。credit_event.type 必须 ≥32，否则整笔回滚，买家待办也不会出现。TodoService 统计 FAIL；NotifyActionResolver 识别「请处理质检结果#」。</w:t>
      </w:r>
    </w:p>
    <w:p>
      <w:pPr>
        <w:pStyle w:val="Heading1"/>
      </w:pPr>
      <w:r>
        <w:rPr>
          <w:rFonts w:ascii="黑体" w:hAnsi="黑体" w:eastAsia="黑体"/>
          <w:color w:val="1F3A5F"/>
        </w:rPr>
        <w:t>5 实现与环境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88"/>
        <w:gridCol w:w="4788"/>
      </w:tblGrid>
      <w:tr>
        <w:tc>
          <w:tcPr>
            <w:tcW w:type="dxa" w:w="1701"/>
            <w:shd w:fill="1F3A5F" w:val="clear"/>
          </w:tcPr>
          <w:p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项</w:t>
            </w:r>
          </w:p>
        </w:tc>
        <w:tc>
          <w:tcPr>
            <w:tcW w:type="dxa" w:w="7937"/>
            <w:shd w:fill="1F3A5F" w:val="clear"/>
          </w:tcPr>
          <w:p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演示买家</w:t>
            </w:r>
          </w:p>
        </w:tc>
        <w:tc>
          <w:tcPr>
            <w:tcW w:type="dxa" w:w="793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13000000001 / 123456  杭州精工传动有限公司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演示工厂</w:t>
            </w:r>
          </w:p>
        </w:tc>
        <w:tc>
          <w:tcPr>
            <w:tcW w:type="dxa" w:w="793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13000000002～05 / 123456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运营</w:t>
            </w:r>
          </w:p>
        </w:tc>
        <w:tc>
          <w:tcPr>
            <w:tcW w:type="dxa" w:w="793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admin / admin123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假设订单</w:t>
            </w:r>
          </w:p>
        </w:tc>
        <w:tc>
          <w:tcPr>
            <w:tcW w:type="dxa" w:w="793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铝合金壳体 20000 件；博锐 8000×3；宏达 6000×4；金盾 6000×4；总额 72000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启动</w:t>
            </w:r>
          </w:p>
        </w:tc>
        <w:tc>
          <w:tcPr>
            <w:tcW w:type="dxa" w:w="793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后端 8080，门户 5173，运营 5174，MySQL 本地 dsh_platform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color w:val="1F3A5F"/>
        </w:rPr>
        <w:t>6 测试与结论</w:t>
      </w:r>
    </w:p>
    <w:p>
      <w:pPr>
        <w:spacing w:after="120" w:before="0" w:line="300" w:lineRule="auto"/>
        <w:jc w:val="both"/>
      </w:pPr>
      <w:r>
        <w:rPr>
          <w:rFonts w:ascii="宋体" w:hAnsi="宋体" w:eastAsia="宋体"/>
          <w:b w:val="0"/>
          <w:sz w:val="24"/>
        </w:rPr>
        <w:t>系统测试用例见《测试用例-第8组-杜青桐》。本轮补强异常：越权、余额不足、区间非法、统一下发前可见性、AI 编号、托管口径、信用截断、FAIL 待办、幂等支付。结论：Web 主链路可演示、可对账、可回归。</w:t>
      </w:r>
    </w:p>
    <w:p>
      <w:pPr>
        <w:pStyle w:val="Heading1"/>
      </w:pPr>
      <w:r>
        <w:rPr>
          <w:rFonts w:ascii="黑体" w:hAnsi="黑体" w:eastAsia="黑体"/>
          <w:color w:val="1F3A5F"/>
        </w:rPr>
        <w:t>7 小组分工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88"/>
        <w:gridCol w:w="4788"/>
      </w:tblGrid>
      <w:tr>
        <w:tc>
          <w:tcPr>
            <w:tcW w:type="dxa" w:w="1701"/>
            <w:shd w:fill="1F3A5F" w:val="clear"/>
          </w:tcPr>
          <w:p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成员</w:t>
            </w:r>
          </w:p>
        </w:tc>
        <w:tc>
          <w:tcPr>
            <w:tcW w:type="dxa" w:w="7937"/>
            <w:shd w:fill="1F3A5F" w:val="clear"/>
          </w:tcPr>
          <w:p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主要工作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杜青桐</w:t>
            </w:r>
          </w:p>
        </w:tc>
        <w:tc>
          <w:tcPr>
            <w:tcW w:type="dxa" w:w="793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状态机与合同统一下发、质检不合格待办、文档统稿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李雨桐</w:t>
            </w:r>
          </w:p>
        </w:tc>
        <w:tc>
          <w:tcPr>
            <w:tcW w:type="dxa" w:w="793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竞标/保证金/质检费与通知跳转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马嘉祺</w:t>
            </w:r>
          </w:p>
        </w:tc>
        <w:tc>
          <w:tcPr>
            <w:tcW w:type="dxa" w:w="793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方案编号、资金账本口径与运营资金明细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肖舒予</w:t>
            </w:r>
          </w:p>
        </w:tc>
        <w:tc>
          <w:tcPr>
            <w:tcW w:type="dxa" w:w="793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认证权限、报工隔离、页面与账号种子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247" w:right="124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666666"/>
        <w:sz w:val="18"/>
      </w:rPr>
      <w:t>智能制造云平台  第8组  杜青桐  V2.0  2026-09-09  密级：内部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