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4A56"/>
        </w:rPr>
        <w:t>Freight Rate Prediction — Approach, Validation and Results</w:t>
      </w:r>
    </w:p>
    <w:p>
      <w:r>
        <w:t>Machine Learning Engineer Assessment. All figures in this report are generated by the repository code; a Figure Book with every chart (EDA, model comparison, robustness checks, diagnostics) is provided separately.</w:t>
      </w:r>
    </w:p>
    <w:p>
      <w:pPr>
        <w:pStyle w:val="Heading1"/>
      </w:pPr>
      <w:r>
        <w:t>Summary</w:t>
      </w:r>
    </w:p>
    <w:p>
      <w:r>
        <w:t>The labelled data covers 1 Jan – 31 Oct 2025 and the loads to predict are 1 Nov – 31 Dec 2025. This is therefore a forecasting problem: the model must price loads on dates later than anything it was trained on. Validation was designed to reproduce exactly that, and model choice was driven by it.</w:t>
      </w:r>
    </w:p>
    <w:tbl>
      <w:tblPr>
        <w:tblStyle w:val="TableGrid"/>
        <w:tblW w:type="auto" w:w="0"/>
        <w:jc w:val="center"/>
        <w:tblLayout w:type="fixed"/>
        <w:tblLook w:firstColumn="1" w:firstRow="1" w:lastColumn="0" w:lastRow="0" w:noHBand="0" w:noVBand="1" w:val="04A0"/>
        <w:tblLayout w:type="fixed"/>
      </w:tblPr>
      <w:tblGrid>
        <w:gridCol w:w="2448"/>
        <w:gridCol w:w="7200"/>
      </w:tblGrid>
      <w:tr>
        <w:tc>
          <w:tcPr>
            <w:tcW w:type="dxa" w:w="2448"/>
            <w:shd w:val="clear" w:color="auto" w:fill="064A56"/>
          </w:tcPr>
          <w:p>
            <w:r>
              <w:rPr>
                <w:sz w:val="17"/>
              </w:rPr>
            </w:r>
            <w:r>
              <w:rPr>
                <w:b/>
                <w:color w:val="FFFFFF"/>
                <w:sz w:val="17"/>
              </w:rPr>
              <w:t>Item</w:t>
            </w:r>
          </w:p>
        </w:tc>
        <w:tc>
          <w:tcPr>
            <w:tcW w:type="dxa" w:w="7200"/>
            <w:shd w:val="clear" w:color="auto" w:fill="064A56"/>
          </w:tcPr>
          <w:p>
            <w:r>
              <w:rPr>
                <w:sz w:val="17"/>
              </w:rPr>
            </w:r>
            <w:r>
              <w:rPr>
                <w:b/>
                <w:color w:val="FFFFFF"/>
                <w:sz w:val="17"/>
              </w:rPr>
              <w:t>Result</w:t>
            </w:r>
          </w:p>
        </w:tc>
      </w:tr>
      <w:tr>
        <w:tc>
          <w:tcPr>
            <w:tcW w:type="dxa" w:w="2448"/>
          </w:tcPr>
          <w:p>
            <w:r>
              <w:rPr>
                <w:sz w:val="17"/>
              </w:rPr>
            </w:r>
            <w:r>
              <w:rPr>
                <w:b w:val="0"/>
                <w:sz w:val="17"/>
              </w:rPr>
              <w:t>Validation</w:t>
            </w:r>
          </w:p>
        </w:tc>
        <w:tc>
          <w:tcPr>
            <w:tcW w:type="dxa" w:w="7200"/>
          </w:tcPr>
          <w:p>
            <w:r>
              <w:rPr>
                <w:sz w:val="17"/>
              </w:rPr>
            </w:r>
            <w:r>
              <w:rPr>
                <w:b w:val="0"/>
                <w:sz w:val="17"/>
              </w:rPr>
              <w:t>3 rolling-origin folds: train on all earlier months, score the next 2 calendar months</w:t>
            </w:r>
          </w:p>
        </w:tc>
      </w:tr>
      <w:tr>
        <w:tc>
          <w:tcPr>
            <w:tcW w:type="dxa" w:w="2448"/>
          </w:tcPr>
          <w:p>
            <w:r>
              <w:rPr>
                <w:sz w:val="17"/>
              </w:rPr>
            </w:r>
            <w:r>
              <w:rPr>
                <w:b w:val="0"/>
                <w:sz w:val="17"/>
              </w:rPr>
              <w:t>Candidates compared</w:t>
            </w:r>
          </w:p>
        </w:tc>
        <w:tc>
          <w:tcPr>
            <w:tcW w:type="dxa" w:w="7200"/>
          </w:tcPr>
          <w:p>
            <w:r>
              <w:rPr>
                <w:sz w:val="17"/>
              </w:rPr>
            </w:r>
            <w:r>
              <w:rPr>
                <w:b w:val="0"/>
                <w:sz w:val="17"/>
              </w:rPr>
              <w:t>21 (7 algorithm families × 2 structures, linear models, baseline, 4 ensembles), identical folds, rows and metrics</w:t>
            </w:r>
          </w:p>
        </w:tc>
      </w:tr>
      <w:tr>
        <w:tc>
          <w:tcPr>
            <w:tcW w:type="dxa" w:w="2448"/>
          </w:tcPr>
          <w:p>
            <w:r>
              <w:rPr>
                <w:sz w:val="17"/>
              </w:rPr>
            </w:r>
            <w:r>
              <w:rPr>
                <w:b w:val="0"/>
                <w:sz w:val="17"/>
              </w:rPr>
              <w:t>Chosen model</w:t>
            </w:r>
          </w:p>
        </w:tc>
        <w:tc>
          <w:tcPr>
            <w:tcW w:type="dxa" w:w="7200"/>
          </w:tcPr>
          <w:p>
            <w:r>
              <w:rPr>
                <w:sz w:val="17"/>
              </w:rPr>
            </w:r>
            <w:r>
              <w:rPr>
                <w:b w:val="0"/>
                <w:sz w:val="17"/>
              </w:rPr>
              <w:t>Ridge regression on log(rate) for the drivers that must extrapolate (distance, equipment, weight, market index, quarter-end, trend) + equal-weight average of LightGBM, XGBoost and Extra Trees trained on the Ridge residual</w:t>
            </w:r>
          </w:p>
        </w:tc>
      </w:tr>
      <w:tr>
        <w:tc>
          <w:tcPr>
            <w:tcW w:type="dxa" w:w="2448"/>
          </w:tcPr>
          <w:p>
            <w:r>
              <w:rPr>
                <w:sz w:val="17"/>
              </w:rPr>
            </w:r>
            <w:r>
              <w:rPr>
                <w:b w:val="0"/>
                <w:sz w:val="17"/>
              </w:rPr>
              <w:t>Expected error on ALL loads</w:t>
            </w:r>
          </w:p>
        </w:tc>
        <w:tc>
          <w:tcPr>
            <w:tcW w:type="dxa" w:w="7200"/>
          </w:tcPr>
          <w:p>
            <w:r>
              <w:rPr>
                <w:sz w:val="17"/>
              </w:rPr>
            </w:r>
            <w:r>
              <w:rPr>
                <w:b w:val="0"/>
                <w:sz w:val="17"/>
              </w:rPr>
              <w:t>MAPE 3.98%, MAE $93 (mean of 3 folds, 28,890 loads). This is the realistic figure if every load is scored: it includes the 1.4% of labels at 2–5× or 0.2–0.5× the expected rate, which no model can anticipate.</w:t>
            </w:r>
          </w:p>
        </w:tc>
      </w:tr>
      <w:tr>
        <w:tc>
          <w:tcPr>
            <w:tcW w:type="dxa" w:w="2448"/>
          </w:tcPr>
          <w:p>
            <w:r>
              <w:rPr>
                <w:sz w:val="17"/>
              </w:rPr>
            </w:r>
            <w:r>
              <w:rPr>
                <w:b w:val="0"/>
                <w:sz w:val="17"/>
              </w:rPr>
              <w:t>Error on normal loads</w:t>
            </w:r>
          </w:p>
        </w:tc>
        <w:tc>
          <w:tcPr>
            <w:tcW w:type="dxa" w:w="7200"/>
          </w:tcPr>
          <w:p>
            <w:r>
              <w:rPr>
                <w:sz w:val="17"/>
              </w:rPr>
            </w:r>
            <w:r>
              <w:rPr>
                <w:b w:val="0"/>
                <w:sz w:val="17"/>
              </w:rPr>
              <w:t>MAPE 1.61%, MAE $39, bias +0.33% (28,488 loads, anomalous labels excluded); 98% of loads within ±5%</w:t>
            </w:r>
          </w:p>
        </w:tc>
      </w:tr>
      <w:tr>
        <w:tc>
          <w:tcPr>
            <w:tcW w:type="dxa" w:w="2448"/>
          </w:tcPr>
          <w:p>
            <w:r>
              <w:rPr>
                <w:sz w:val="17"/>
              </w:rPr>
            </w:r>
            <w:r>
              <w:rPr>
                <w:b w:val="0"/>
                <w:sz w:val="17"/>
              </w:rPr>
              <w:t>Reference points (normal / all loads)</w:t>
            </w:r>
          </w:p>
        </w:tc>
        <w:tc>
          <w:tcPr>
            <w:tcW w:type="dxa" w:w="7200"/>
          </w:tcPr>
          <w:p>
            <w:r>
              <w:rPr>
                <w:sz w:val="17"/>
              </w:rPr>
            </w:r>
            <w:r>
              <w:rPr>
                <w:b w:val="0"/>
                <w:sz w:val="17"/>
              </w:rPr>
              <w:t>LightGBM alone 2.71% / 5.00%; rate-per-mile baseline 4.64% / 6.92%</w:t>
            </w:r>
          </w:p>
        </w:tc>
      </w:tr>
    </w:tbl>
    <w:p/>
    <w:p>
      <w:pPr>
        <w:pStyle w:val="Heading1"/>
      </w:pPr>
      <w:r>
        <w:t>1. Key findings from the data</w:t>
      </w:r>
    </w:p>
    <w:p>
      <w:pPr>
        <w:pStyle w:val="ListBullet"/>
      </w:pPr>
      <w:r>
        <w:rPr>
          <w:b/>
        </w:rPr>
        <w:t>Disjoint in time.</w:t>
      </w:r>
      <w:r>
        <w:t xml:space="preserve"> 48,000 labelled loads and 12,000 loads to predict, with no date overlap (Figure 1). A random split would mix same-day market conditions into training and hide the forecasting problem.</w:t>
      </w:r>
    </w:p>
    <w:p>
      <w:pPr>
        <w:pStyle w:val="ListBullet"/>
      </w:pPr>
      <w:r>
        <w:rPr>
          <w:b/>
        </w:rPr>
        <w:t>Distance dominates.</w:t>
      </w:r>
      <w:r>
        <w:t xml:space="preserve"> A power law: rate ∝ distance^0.87, so rate per mile falls with distance. Holding other factors fixed, Reefer is associated with a ~13% and Flatbed a ~8% higher rate than Dry Van; weight has an elasticity of 0.08. These are Ridge coefficients from the final model: associations, not causal effects.</w:t>
      </w:r>
    </w:p>
    <w:p>
      <w:pPr>
        <w:pStyle w:val="ListBullet"/>
      </w:pPr>
      <w:r>
        <w:rPr>
          <w:b/>
        </w:rPr>
        <w:t>Market index.</w:t>
      </w:r>
      <w:r>
        <w:t xml:space="preserve"> market_index has a strong 7-day cycle (Wed–Thu peak) around a slow regime that rises Jan–May and falls Aug–Sep (Figure 2). In validation it sits in a narrow low band that is fully inside the training range.</w:t>
      </w:r>
    </w:p>
    <w:p>
      <w:pPr>
        <w:pStyle w:val="ListBullet"/>
      </w:pPr>
      <w:r>
        <w:rPr>
          <w:b/>
        </w:rPr>
        <w:t>Unseen cities.</w:t>
      </w:r>
      <w:r>
        <w:t xml:space="preserve"> 8 cities in validation.csv never occur in training; 1,447 validation loads (12%) touch one. City name therefore cannot be a feature; lanes are described by coordinates, distance and circuity.</w:t>
      </w:r>
    </w:p>
    <w:p>
      <w:pPr>
        <w:pStyle w:val="ListBullet"/>
      </w:pPr>
      <w:r>
        <w:rPr>
          <w:b/>
        </w:rPr>
        <w:t>Coordinates are synthetic.</w:t>
      </w:r>
      <w:r>
        <w:t xml:space="preserve"> Each city has one consistent coordinate pair, and the distance column agrees with them (median road ÷ straight-line distance 1.18). But they are not the real locations: compared with approximate real coordinates for 18 well-known cities they are displaced by a median of ~144 miles (Phoenix by ~395). They are treated as dataset-internal location signals, never joined to external geographic data.</w:t>
      </w:r>
    </w:p>
    <w:p>
      <w:pPr>
        <w:pStyle w:val="ListBullet"/>
      </w:pPr>
      <w:r>
        <w:rPr>
          <w:b/>
        </w:rPr>
        <w:t>Weak signal.</w:t>
      </w:r>
      <w:r>
        <w:t xml:space="preserve"> quote_signal adds little (linear coefficient 0.008; a weak U-shape only in the tails).</w:t>
      </w:r>
    </w:p>
    <w:p>
      <w:r>
        <w:drawing>
          <wp:inline xmlns:a="http://schemas.openxmlformats.org/drawingml/2006/main" xmlns:pic="http://schemas.openxmlformats.org/drawingml/2006/picture">
            <wp:extent cx="5303520" cy="2249688"/>
            <wp:docPr id="1" name="Picture 1"/>
            <wp:cNvGraphicFramePr>
              <a:graphicFrameLocks noChangeAspect="1"/>
            </wp:cNvGraphicFramePr>
            <a:graphic>
              <a:graphicData uri="http://schemas.openxmlformats.org/drawingml/2006/picture">
                <pic:pic>
                  <pic:nvPicPr>
                    <pic:cNvPr id="0" name="01_timeline.png"/>
                    <pic:cNvPicPr/>
                  </pic:nvPicPr>
                  <pic:blipFill>
                    <a:blip r:embed="rId9"/>
                    <a:stretch>
                      <a:fillRect/>
                    </a:stretch>
                  </pic:blipFill>
                  <pic:spPr>
                    <a:xfrm>
                      <a:off x="0" y="0"/>
                      <a:ext cx="5303520" cy="2249688"/>
                    </a:xfrm>
                    <a:prstGeom prst="rect"/>
                  </pic:spPr>
                </pic:pic>
              </a:graphicData>
            </a:graphic>
          </wp:inline>
        </w:drawing>
      </w:r>
    </w:p>
    <w:p>
      <w:r>
        <w:rPr>
          <w:i/>
          <w:sz w:val="17"/>
        </w:rPr>
        <w:t>Figure 1. Loads per day in each file.</w:t>
      </w:r>
    </w:p>
    <w:p>
      <w:r>
        <w:drawing>
          <wp:inline xmlns:a="http://schemas.openxmlformats.org/drawingml/2006/main" xmlns:pic="http://schemas.openxmlformats.org/drawingml/2006/picture">
            <wp:extent cx="5669280" cy="2019196"/>
            <wp:docPr id="2" name="Picture 2"/>
            <wp:cNvGraphicFramePr>
              <a:graphicFrameLocks noChangeAspect="1"/>
            </wp:cNvGraphicFramePr>
            <a:graphic>
              <a:graphicData uri="http://schemas.openxmlformats.org/drawingml/2006/picture">
                <pic:pic>
                  <pic:nvPicPr>
                    <pic:cNvPr id="0" name="10_market_index.png"/>
                    <pic:cNvPicPr/>
                  </pic:nvPicPr>
                  <pic:blipFill>
                    <a:blip r:embed="rId10"/>
                    <a:stretch>
                      <a:fillRect/>
                    </a:stretch>
                  </pic:blipFill>
                  <pic:spPr>
                    <a:xfrm>
                      <a:off x="0" y="0"/>
                      <a:ext cx="5669280" cy="2019196"/>
                    </a:xfrm>
                    <a:prstGeom prst="rect"/>
                  </pic:spPr>
                </pic:pic>
              </a:graphicData>
            </a:graphic>
          </wp:inline>
        </w:drawing>
      </w:r>
    </w:p>
    <w:p>
      <w:r>
        <w:rPr>
          <w:i/>
          <w:sz w:val="17"/>
        </w:rPr>
        <w:t>Figure 2. Daily market_index and its weekday profile.</w:t>
      </w:r>
    </w:p>
    <w:p>
      <w:pPr>
        <w:pStyle w:val="Heading1"/>
      </w:pPr>
      <w:r>
        <w:t>2. Data-quality issues and how they were handled</w:t>
      </w:r>
    </w:p>
    <w:tbl>
      <w:tblPr>
        <w:tblStyle w:val="TableGrid"/>
        <w:tblW w:type="auto" w:w="0"/>
        <w:jc w:val="center"/>
        <w:tblLayout w:type="fixed"/>
        <w:tblLook w:firstColumn="1" w:firstRow="1" w:lastColumn="0" w:lastRow="0" w:noHBand="0" w:noVBand="1" w:val="04A0"/>
        <w:tblLayout w:type="fixed"/>
      </w:tblPr>
      <w:tblGrid>
        <w:gridCol w:w="1872"/>
        <w:gridCol w:w="1440"/>
        <w:gridCol w:w="3600"/>
        <w:gridCol w:w="2880"/>
      </w:tblGrid>
      <w:tr>
        <w:tc>
          <w:tcPr>
            <w:tcW w:type="dxa" w:w="1872"/>
            <w:shd w:val="clear" w:color="auto" w:fill="064A56"/>
          </w:tcPr>
          <w:p>
            <w:r>
              <w:rPr>
                <w:sz w:val="17"/>
              </w:rPr>
            </w:r>
            <w:r>
              <w:rPr>
                <w:b/>
                <w:color w:val="FFFFFF"/>
                <w:sz w:val="17"/>
              </w:rPr>
              <w:t>Issue</w:t>
            </w:r>
          </w:p>
        </w:tc>
        <w:tc>
          <w:tcPr>
            <w:tcW w:type="dxa" w:w="1440"/>
            <w:shd w:val="clear" w:color="auto" w:fill="064A56"/>
          </w:tcPr>
          <w:p>
            <w:r>
              <w:rPr>
                <w:sz w:val="17"/>
              </w:rPr>
            </w:r>
            <w:r>
              <w:rPr>
                <w:b/>
                <w:color w:val="FFFFFF"/>
                <w:sz w:val="17"/>
              </w:rPr>
              <w:t>Extent</w:t>
            </w:r>
          </w:p>
        </w:tc>
        <w:tc>
          <w:tcPr>
            <w:tcW w:type="dxa" w:w="3600"/>
            <w:shd w:val="clear" w:color="auto" w:fill="064A56"/>
          </w:tcPr>
          <w:p>
            <w:r>
              <w:rPr>
                <w:sz w:val="17"/>
              </w:rPr>
            </w:r>
            <w:r>
              <w:rPr>
                <w:b/>
                <w:color w:val="FFFFFF"/>
                <w:sz w:val="17"/>
              </w:rPr>
              <w:t>Evidence</w:t>
            </w:r>
          </w:p>
        </w:tc>
        <w:tc>
          <w:tcPr>
            <w:tcW w:type="dxa" w:w="2880"/>
            <w:shd w:val="clear" w:color="auto" w:fill="064A56"/>
          </w:tcPr>
          <w:p>
            <w:r>
              <w:rPr>
                <w:sz w:val="17"/>
              </w:rPr>
            </w:r>
            <w:r>
              <w:rPr>
                <w:b/>
                <w:color w:val="FFFFFF"/>
                <w:sz w:val="17"/>
              </w:rPr>
              <w:t>Treatment</w:t>
            </w:r>
          </w:p>
        </w:tc>
      </w:tr>
      <w:tr>
        <w:tc>
          <w:tcPr>
            <w:tcW w:type="dxa" w:w="1872"/>
          </w:tcPr>
          <w:p>
            <w:r>
              <w:rPr>
                <w:sz w:val="17"/>
              </w:rPr>
            </w:r>
            <w:r>
              <w:rPr>
                <w:b w:val="0"/>
                <w:sz w:val="17"/>
              </w:rPr>
              <w:t>Anomalous posted_rate labels</w:t>
            </w:r>
          </w:p>
        </w:tc>
        <w:tc>
          <w:tcPr>
            <w:tcW w:type="dxa" w:w="1440"/>
          </w:tcPr>
          <w:p>
            <w:r>
              <w:rPr>
                <w:sz w:val="17"/>
              </w:rPr>
            </w:r>
            <w:r>
              <w:rPr>
                <w:b w:val="0"/>
                <w:sz w:val="17"/>
              </w:rPr>
              <w:t>677 rows (1.4%)</w:t>
            </w:r>
          </w:p>
        </w:tc>
        <w:tc>
          <w:tcPr>
            <w:tcW w:type="dxa" w:w="3600"/>
          </w:tcPr>
          <w:p>
            <w:r>
              <w:rPr>
                <w:sz w:val="17"/>
              </w:rPr>
            </w:r>
            <w:r>
              <w:rPr>
                <w:b w:val="0"/>
                <w:sz w:val="17"/>
              </w:rPr>
              <w:t>Ratio to a robust (Huber) log-linear expectation: normal loads within ±19%, then an empty gap, then two clusters at 0.2–0.5× and 2–5×. Any threshold from 1.2× to 2.2× flags exactly the same rows (Figure 3). Spread evenly over months, equipment and distance; their features look normal.</w:t>
            </w:r>
          </w:p>
        </w:tc>
        <w:tc>
          <w:tcPr>
            <w:tcW w:type="dxa" w:w="2880"/>
          </w:tcPr>
          <w:p>
            <w:r>
              <w:rPr>
                <w:sz w:val="17"/>
              </w:rPr>
            </w:r>
            <w:r>
              <w:rPr>
                <w:b w:val="0"/>
                <w:sz w:val="17"/>
              </w:rPr>
              <w:t>Called anomalous (likely entry/unit errors, not proven). Excluded from training; the detector is re-fitted inside each fold on training months only. Metrics reported with and without them.</w:t>
            </w:r>
          </w:p>
        </w:tc>
      </w:tr>
      <w:tr>
        <w:tc>
          <w:tcPr>
            <w:tcW w:type="dxa" w:w="1872"/>
          </w:tcPr>
          <w:p>
            <w:r>
              <w:rPr>
                <w:sz w:val="17"/>
              </w:rPr>
            </w:r>
            <w:r>
              <w:rPr>
                <w:b w:val="0"/>
                <w:sz w:val="17"/>
              </w:rPr>
              <w:t>Negative weight</w:t>
            </w:r>
          </w:p>
        </w:tc>
        <w:tc>
          <w:tcPr>
            <w:tcW w:type="dxa" w:w="1440"/>
          </w:tcPr>
          <w:p>
            <w:r>
              <w:rPr>
                <w:sz w:val="17"/>
              </w:rPr>
            </w:r>
            <w:r>
              <w:rPr>
                <w:b w:val="0"/>
                <w:sz w:val="17"/>
              </w:rPr>
              <w:t>292 train / 145 validation</w:t>
            </w:r>
          </w:p>
        </w:tc>
        <w:tc>
          <w:tcPr>
            <w:tcW w:type="dxa" w:w="3600"/>
          </w:tcPr>
          <w:p>
            <w:r>
              <w:rPr>
                <w:sz w:val="17"/>
              </w:rPr>
            </w:r>
            <w:r>
              <w:rPr>
                <w:b w:val="0"/>
                <w:sz w:val="17"/>
              </w:rPr>
              <w:t>Magnitudes match normal loads (median 31,822 lb)</w:t>
            </w:r>
          </w:p>
        </w:tc>
        <w:tc>
          <w:tcPr>
            <w:tcW w:type="dxa" w:w="2880"/>
          </w:tcPr>
          <w:p>
            <w:r>
              <w:rPr>
                <w:sz w:val="17"/>
              </w:rPr>
            </w:r>
            <w:r>
              <w:rPr>
                <w:b w:val="0"/>
                <w:sz w:val="17"/>
              </w:rPr>
              <w:t>Absolute value + indicator</w:t>
            </w:r>
          </w:p>
        </w:tc>
      </w:tr>
      <w:tr>
        <w:tc>
          <w:tcPr>
            <w:tcW w:type="dxa" w:w="1872"/>
          </w:tcPr>
          <w:p>
            <w:r>
              <w:rPr>
                <w:sz w:val="17"/>
              </w:rPr>
            </w:r>
            <w:r>
              <w:rPr>
                <w:b w:val="0"/>
                <w:sz w:val="17"/>
              </w:rPr>
              <w:t>Missing weight</w:t>
            </w:r>
          </w:p>
        </w:tc>
        <w:tc>
          <w:tcPr>
            <w:tcW w:type="dxa" w:w="1440"/>
          </w:tcPr>
          <w:p>
            <w:r>
              <w:rPr>
                <w:sz w:val="17"/>
              </w:rPr>
            </w:r>
            <w:r>
              <w:rPr>
                <w:b w:val="0"/>
                <w:sz w:val="17"/>
              </w:rPr>
              <w:t>300 train / 165 validation</w:t>
            </w:r>
          </w:p>
        </w:tc>
        <w:tc>
          <w:tcPr>
            <w:tcW w:type="dxa" w:w="3600"/>
          </w:tcPr>
          <w:p>
            <w:r>
              <w:rPr>
                <w:sz w:val="17"/>
              </w:rPr>
            </w:r>
            <w:r>
              <w:rPr>
                <w:b w:val="0"/>
                <w:sz w:val="17"/>
              </w:rPr>
              <w:t>Evenly spread: 0.4–0.8% in every month</w:t>
            </w:r>
          </w:p>
        </w:tc>
        <w:tc>
          <w:tcPr>
            <w:tcW w:type="dxa" w:w="2880"/>
          </w:tcPr>
          <w:p>
            <w:r>
              <w:rPr>
                <w:sz w:val="17"/>
              </w:rPr>
            </w:r>
            <w:r>
              <w:rPr>
                <w:b w:val="0"/>
                <w:sz w:val="17"/>
              </w:rPr>
              <w:t>Native NaN handling (LightGBM/XGBoost) + missing flag; otherwise equipment median from Jan–Apr training rows only (before the first evaluation window, so no fold sees a statistic from its own future)</w:t>
            </w:r>
          </w:p>
        </w:tc>
      </w:tr>
      <w:tr>
        <w:tc>
          <w:tcPr>
            <w:tcW w:type="dxa" w:w="1872"/>
          </w:tcPr>
          <w:p>
            <w:r>
              <w:rPr>
                <w:sz w:val="17"/>
              </w:rPr>
            </w:r>
            <w:r>
              <w:rPr>
                <w:b w:val="0"/>
                <w:sz w:val="17"/>
              </w:rPr>
              <w:t>Missing market_index</w:t>
            </w:r>
          </w:p>
        </w:tc>
        <w:tc>
          <w:tcPr>
            <w:tcW w:type="dxa" w:w="1440"/>
          </w:tcPr>
          <w:p>
            <w:r>
              <w:rPr>
                <w:sz w:val="17"/>
              </w:rPr>
            </w:r>
            <w:r>
              <w:rPr>
                <w:b w:val="0"/>
                <w:sz w:val="17"/>
              </w:rPr>
              <w:t>374 train / 249 validation</w:t>
            </w:r>
          </w:p>
        </w:tc>
        <w:tc>
          <w:tcPr>
            <w:tcW w:type="dxa" w:w="3600"/>
          </w:tcPr>
          <w:p>
            <w:r>
              <w:rPr>
                <w:sz w:val="17"/>
              </w:rPr>
            </w:r>
            <w:r>
              <w:rPr>
                <w:b w:val="0"/>
                <w:sz w:val="17"/>
              </w:rPr>
              <w:t>Within-day spread is tiny (std 0.025)</w:t>
            </w:r>
          </w:p>
        </w:tc>
        <w:tc>
          <w:tcPr>
            <w:tcW w:type="dxa" w:w="2880"/>
          </w:tcPr>
          <w:p>
            <w:r>
              <w:rPr>
                <w:sz w:val="17"/>
              </w:rPr>
            </w:r>
            <w:r>
              <w:rPr>
                <w:b w:val="0"/>
                <w:sz w:val="17"/>
              </w:rPr>
              <w:t>That day's median market_index. Feature values only; train and validation share no dates, so validation rows never change a training-date value</w:t>
            </w:r>
          </w:p>
        </w:tc>
      </w:tr>
      <w:tr>
        <w:tc>
          <w:tcPr>
            <w:tcW w:type="dxa" w:w="1872"/>
          </w:tcPr>
          <w:p>
            <w:r>
              <w:rPr>
                <w:sz w:val="17"/>
              </w:rPr>
            </w:r>
            <w:r>
              <w:rPr>
                <w:b w:val="0"/>
                <w:sz w:val="17"/>
              </w:rPr>
              <w:t>Weight cap</w:t>
            </w:r>
          </w:p>
        </w:tc>
        <w:tc>
          <w:tcPr>
            <w:tcW w:type="dxa" w:w="1440"/>
          </w:tcPr>
          <w:p>
            <w:r>
              <w:rPr>
                <w:sz w:val="17"/>
              </w:rPr>
            </w:r>
            <w:r>
              <w:rPr>
                <w:b w:val="0"/>
                <w:sz w:val="17"/>
              </w:rPr>
              <w:t>2.5% at exactly 47,500 lb</w:t>
            </w:r>
          </w:p>
        </w:tc>
        <w:tc>
          <w:tcPr>
            <w:tcW w:type="dxa" w:w="3600"/>
          </w:tcPr>
          <w:p>
            <w:r>
              <w:rPr>
                <w:sz w:val="17"/>
              </w:rPr>
            </w:r>
            <w:r>
              <w:rPr>
                <w:b w:val="0"/>
                <w:sz w:val="17"/>
              </w:rPr>
              <w:t>Spike at the maximum in both files</w:t>
            </w:r>
          </w:p>
        </w:tc>
        <w:tc>
          <w:tcPr>
            <w:tcW w:type="dxa" w:w="2880"/>
          </w:tcPr>
          <w:p>
            <w:r>
              <w:rPr>
                <w:sz w:val="17"/>
              </w:rPr>
            </w:r>
            <w:r>
              <w:rPr>
                <w:b w:val="0"/>
                <w:sz w:val="17"/>
              </w:rPr>
              <w:t>Kept (plausible cap)</w:t>
            </w:r>
          </w:p>
        </w:tc>
      </w:tr>
      <w:tr>
        <w:tc>
          <w:tcPr>
            <w:tcW w:type="dxa" w:w="1872"/>
          </w:tcPr>
          <w:p>
            <w:r>
              <w:rPr>
                <w:sz w:val="17"/>
              </w:rPr>
            </w:r>
            <w:r>
              <w:rPr>
                <w:b w:val="0"/>
                <w:sz w:val="17"/>
              </w:rPr>
              <w:t>Synthetic coordinates</w:t>
            </w:r>
          </w:p>
        </w:tc>
        <w:tc>
          <w:tcPr>
            <w:tcW w:type="dxa" w:w="1440"/>
          </w:tcPr>
          <w:p>
            <w:r>
              <w:rPr>
                <w:sz w:val="17"/>
              </w:rPr>
            </w:r>
            <w:r>
              <w:rPr>
                <w:b w:val="0"/>
                <w:sz w:val="17"/>
              </w:rPr>
              <w:t>all cities</w:t>
            </w:r>
          </w:p>
        </w:tc>
        <w:tc>
          <w:tcPr>
            <w:tcW w:type="dxa" w:w="3600"/>
          </w:tcPr>
          <w:p>
            <w:r>
              <w:rPr>
                <w:sz w:val="17"/>
              </w:rPr>
            </w:r>
            <w:r>
              <w:rPr>
                <w:b w:val="0"/>
                <w:sz w:val="17"/>
              </w:rPr>
              <w:t>See section 1</w:t>
            </w:r>
          </w:p>
        </w:tc>
        <w:tc>
          <w:tcPr>
            <w:tcW w:type="dxa" w:w="2880"/>
          </w:tcPr>
          <w:p>
            <w:r>
              <w:rPr>
                <w:sz w:val="17"/>
              </w:rPr>
            </w:r>
            <w:r>
              <w:rPr>
                <w:b w:val="0"/>
                <w:sz w:val="17"/>
              </w:rPr>
              <w:t>Used only as internal location signals</w:t>
            </w:r>
          </w:p>
        </w:tc>
      </w:tr>
      <w:tr>
        <w:tc>
          <w:tcPr>
            <w:tcW w:type="dxa" w:w="1872"/>
          </w:tcPr>
          <w:p>
            <w:r>
              <w:rPr>
                <w:sz w:val="17"/>
              </w:rPr>
            </w:r>
            <w:r>
              <w:rPr>
                <w:b w:val="0"/>
                <w:sz w:val="17"/>
              </w:rPr>
              <w:t>Duplicates, unknown categories, conflicting coordinates</w:t>
            </w:r>
          </w:p>
        </w:tc>
        <w:tc>
          <w:tcPr>
            <w:tcW w:type="dxa" w:w="1440"/>
          </w:tcPr>
          <w:p>
            <w:r>
              <w:rPr>
                <w:sz w:val="17"/>
              </w:rPr>
            </w:r>
            <w:r>
              <w:rPr>
                <w:b w:val="0"/>
                <w:sz w:val="17"/>
              </w:rPr>
              <w:t>none</w:t>
            </w:r>
          </w:p>
        </w:tc>
        <w:tc>
          <w:tcPr>
            <w:tcW w:type="dxa" w:w="3600"/>
          </w:tcPr>
          <w:p>
            <w:r>
              <w:rPr>
                <w:sz w:val="17"/>
              </w:rPr>
            </w:r>
            <w:r>
              <w:rPr>
                <w:b w:val="0"/>
                <w:sz w:val="17"/>
              </w:rPr>
              <w:t>Checked</w:t>
            </w:r>
          </w:p>
        </w:tc>
        <w:tc>
          <w:tcPr>
            <w:tcW w:type="dxa" w:w="2880"/>
          </w:tcPr>
          <w:p>
            <w:r>
              <w:rPr>
                <w:sz w:val="17"/>
              </w:rPr>
            </w:r>
            <w:r>
              <w:rPr>
                <w:b w:val="0"/>
                <w:sz w:val="17"/>
              </w:rPr>
              <w:t>—</w:t>
            </w:r>
          </w:p>
        </w:tc>
      </w:tr>
    </w:tbl>
    <w:p/>
    <w:p>
      <w:r>
        <w:drawing>
          <wp:inline xmlns:a="http://schemas.openxmlformats.org/drawingml/2006/main" xmlns:pic="http://schemas.openxmlformats.org/drawingml/2006/picture">
            <wp:extent cx="5852160" cy="2336608"/>
            <wp:docPr id="3" name="Picture 3"/>
            <wp:cNvGraphicFramePr>
              <a:graphicFrameLocks noChangeAspect="1"/>
            </wp:cNvGraphicFramePr>
            <a:graphic>
              <a:graphicData uri="http://schemas.openxmlformats.org/drawingml/2006/picture">
                <pic:pic>
                  <pic:nvPicPr>
                    <pic:cNvPr id="0" name="18_outliers.png"/>
                    <pic:cNvPicPr/>
                  </pic:nvPicPr>
                  <pic:blipFill>
                    <a:blip r:embed="rId11"/>
                    <a:stretch>
                      <a:fillRect/>
                    </a:stretch>
                  </pic:blipFill>
                  <pic:spPr>
                    <a:xfrm>
                      <a:off x="0" y="0"/>
                      <a:ext cx="5852160" cy="2336608"/>
                    </a:xfrm>
                    <a:prstGeom prst="rect"/>
                  </pic:spPr>
                </pic:pic>
              </a:graphicData>
            </a:graphic>
          </wp:inline>
        </w:drawing>
      </w:r>
    </w:p>
    <w:p>
      <w:r>
        <w:rPr>
          <w:i/>
          <w:sz w:val="17"/>
        </w:rPr>
        <w:t>Figure 3. Left: actual ÷ expected rate. Right: rows flagged vs threshold — a flat plateau, so the threshold choice does not matter.</w:t>
      </w:r>
    </w:p>
    <w:p>
      <w:r>
        <w:rPr>
          <w:b/>
        </w:rPr>
        <w:t>Does removal help?</w:t>
      </w:r>
      <w:r>
        <w:t xml:space="preserve"> Training with them included raises CV MAPE from 1.61% to 2.54% on normal loads and from 3.98% to 4.91% on all loads. Removing them helps on both.</w:t>
      </w:r>
    </w:p>
    <w:p>
      <w:pPr>
        <w:pStyle w:val="Heading1"/>
      </w:pPr>
      <w:r>
        <w:t>3. Validation approach and data split</w:t>
      </w:r>
    </w:p>
    <w:p>
      <w:r>
        <w:t>Rolling-origin (expanding-window) cross-validation. Every fold trains on all months before a cut-off and scores the next two calendar months — the same 2-month horizon as the real task (Jan–Oct → Nov–Dec).</w:t>
      </w:r>
    </w:p>
    <w:tbl>
      <w:tblPr>
        <w:tblStyle w:val="TableGrid"/>
        <w:tblW w:type="auto" w:w="0"/>
        <w:jc w:val="center"/>
        <w:tblLayout w:type="fixed"/>
        <w:tblLook w:firstColumn="1" w:firstRow="1" w:lastColumn="0" w:lastRow="0" w:noHBand="0" w:noVBand="1" w:val="04A0"/>
        <w:tblLayout w:type="fixed"/>
      </w:tblPr>
      <w:tblGrid>
        <w:gridCol w:w="720"/>
        <w:gridCol w:w="1872"/>
        <w:gridCol w:w="2736"/>
        <w:gridCol w:w="2015"/>
        <w:gridCol w:w="2160"/>
      </w:tblGrid>
      <w:tr>
        <w:tc>
          <w:tcPr>
            <w:tcW w:type="dxa" w:w="720"/>
            <w:shd w:val="clear" w:color="auto" w:fill="064A56"/>
          </w:tcPr>
          <w:p>
            <w:r>
              <w:rPr>
                <w:sz w:val="17"/>
              </w:rPr>
            </w:r>
            <w:r>
              <w:rPr>
                <w:b/>
                <w:color w:val="FFFFFF"/>
                <w:sz w:val="17"/>
              </w:rPr>
              <w:t>Fold</w:t>
            </w:r>
          </w:p>
        </w:tc>
        <w:tc>
          <w:tcPr>
            <w:tcW w:type="dxa" w:w="1872"/>
            <w:shd w:val="clear" w:color="auto" w:fill="064A56"/>
          </w:tcPr>
          <w:p>
            <w:r>
              <w:rPr>
                <w:sz w:val="17"/>
              </w:rPr>
            </w:r>
            <w:r>
              <w:rPr>
                <w:b/>
                <w:color w:val="FFFFFF"/>
                <w:sz w:val="17"/>
              </w:rPr>
              <w:t>Training period</w:t>
            </w:r>
          </w:p>
        </w:tc>
        <w:tc>
          <w:tcPr>
            <w:tcW w:type="dxa" w:w="2736"/>
            <w:shd w:val="clear" w:color="auto" w:fill="064A56"/>
          </w:tcPr>
          <w:p>
            <w:r>
              <w:rPr>
                <w:sz w:val="17"/>
              </w:rPr>
            </w:r>
            <w:r>
              <w:rPr>
                <w:b/>
                <w:color w:val="FFFFFF"/>
                <w:sz w:val="17"/>
              </w:rPr>
              <w:t>Evaluation period</w:t>
            </w:r>
          </w:p>
        </w:tc>
        <w:tc>
          <w:tcPr>
            <w:tcW w:type="dxa" w:w="2016"/>
            <w:shd w:val="clear" w:color="auto" w:fill="064A56"/>
          </w:tcPr>
          <w:p>
            <w:r>
              <w:rPr>
                <w:sz w:val="17"/>
              </w:rPr>
            </w:r>
            <w:r>
              <w:rPr>
                <w:b/>
                <w:color w:val="FFFFFF"/>
                <w:sz w:val="17"/>
              </w:rPr>
              <w:t>Training rows (after removing anomalies)</w:t>
            </w:r>
          </w:p>
        </w:tc>
        <w:tc>
          <w:tcPr>
            <w:tcW w:type="dxa" w:w="2160"/>
            <w:shd w:val="clear" w:color="auto" w:fill="064A56"/>
          </w:tcPr>
          <w:p>
            <w:r>
              <w:rPr>
                <w:sz w:val="17"/>
              </w:rPr>
            </w:r>
            <w:r>
              <w:rPr>
                <w:b/>
                <w:color w:val="FFFFFF"/>
                <w:sz w:val="17"/>
              </w:rPr>
              <w:t>Evaluated: all / clean</w:t>
            </w:r>
          </w:p>
        </w:tc>
      </w:tr>
      <w:tr>
        <w:tc>
          <w:tcPr>
            <w:tcW w:type="dxa" w:w="720"/>
          </w:tcPr>
          <w:p>
            <w:r>
              <w:rPr>
                <w:sz w:val="17"/>
              </w:rPr>
            </w:r>
            <w:r>
              <w:rPr>
                <w:b w:val="0"/>
                <w:sz w:val="17"/>
              </w:rPr>
              <w:t>1</w:t>
            </w:r>
          </w:p>
        </w:tc>
        <w:tc>
          <w:tcPr>
            <w:tcW w:type="dxa" w:w="1872"/>
          </w:tcPr>
          <w:p>
            <w:r>
              <w:rPr>
                <w:sz w:val="17"/>
              </w:rPr>
            </w:r>
            <w:r>
              <w:rPr>
                <w:b w:val="0"/>
                <w:sz w:val="17"/>
              </w:rPr>
              <w:t>1 Jan – 30 Apr</w:t>
            </w:r>
          </w:p>
        </w:tc>
        <w:tc>
          <w:tcPr>
            <w:tcW w:type="dxa" w:w="2736"/>
          </w:tcPr>
          <w:p>
            <w:r>
              <w:rPr>
                <w:sz w:val="17"/>
              </w:rPr>
            </w:r>
            <w:r>
              <w:rPr>
                <w:b w:val="0"/>
                <w:sz w:val="17"/>
              </w:rPr>
              <w:t>01 May – 30 Jun</w:t>
            </w:r>
          </w:p>
        </w:tc>
        <w:tc>
          <w:tcPr>
            <w:tcW w:type="dxa" w:w="2016"/>
          </w:tcPr>
          <w:p>
            <w:r>
              <w:rPr>
                <w:sz w:val="17"/>
              </w:rPr>
            </w:r>
            <w:r>
              <w:rPr>
                <w:b w:val="0"/>
                <w:sz w:val="17"/>
              </w:rPr>
              <w:t>18,835</w:t>
            </w:r>
          </w:p>
        </w:tc>
        <w:tc>
          <w:tcPr>
            <w:tcW w:type="dxa" w:w="2160"/>
          </w:tcPr>
          <w:p>
            <w:r>
              <w:rPr>
                <w:sz w:val="17"/>
              </w:rPr>
            </w:r>
            <w:r>
              <w:rPr>
                <w:b w:val="0"/>
                <w:sz w:val="17"/>
              </w:rPr>
              <w:t>9,696 / 9,571</w:t>
            </w:r>
          </w:p>
        </w:tc>
      </w:tr>
      <w:tr>
        <w:tc>
          <w:tcPr>
            <w:tcW w:type="dxa" w:w="720"/>
          </w:tcPr>
          <w:p>
            <w:r>
              <w:rPr>
                <w:sz w:val="17"/>
              </w:rPr>
            </w:r>
            <w:r>
              <w:rPr>
                <w:b w:val="0"/>
                <w:sz w:val="17"/>
              </w:rPr>
              <w:t>2</w:t>
            </w:r>
          </w:p>
        </w:tc>
        <w:tc>
          <w:tcPr>
            <w:tcW w:type="dxa" w:w="1872"/>
          </w:tcPr>
          <w:p>
            <w:r>
              <w:rPr>
                <w:sz w:val="17"/>
              </w:rPr>
            </w:r>
            <w:r>
              <w:rPr>
                <w:b w:val="0"/>
                <w:sz w:val="17"/>
              </w:rPr>
              <w:t>1 Jan – 30 Jun</w:t>
            </w:r>
          </w:p>
        </w:tc>
        <w:tc>
          <w:tcPr>
            <w:tcW w:type="dxa" w:w="2736"/>
          </w:tcPr>
          <w:p>
            <w:r>
              <w:rPr>
                <w:sz w:val="17"/>
              </w:rPr>
            </w:r>
            <w:r>
              <w:rPr>
                <w:b w:val="0"/>
                <w:sz w:val="17"/>
              </w:rPr>
              <w:t>01 Jul – 31 Aug</w:t>
            </w:r>
          </w:p>
        </w:tc>
        <w:tc>
          <w:tcPr>
            <w:tcW w:type="dxa" w:w="2016"/>
          </w:tcPr>
          <w:p>
            <w:r>
              <w:rPr>
                <w:sz w:val="17"/>
              </w:rPr>
            </w:r>
            <w:r>
              <w:rPr>
                <w:b w:val="0"/>
                <w:sz w:val="17"/>
              </w:rPr>
              <w:t>28,406</w:t>
            </w:r>
          </w:p>
        </w:tc>
        <w:tc>
          <w:tcPr>
            <w:tcW w:type="dxa" w:w="2160"/>
          </w:tcPr>
          <w:p>
            <w:r>
              <w:rPr>
                <w:sz w:val="17"/>
              </w:rPr>
            </w:r>
            <w:r>
              <w:rPr>
                <w:b w:val="0"/>
                <w:sz w:val="17"/>
              </w:rPr>
              <w:t>9,671 / 9,538</w:t>
            </w:r>
          </w:p>
        </w:tc>
      </w:tr>
      <w:tr>
        <w:tc>
          <w:tcPr>
            <w:tcW w:type="dxa" w:w="720"/>
          </w:tcPr>
          <w:p>
            <w:r>
              <w:rPr>
                <w:sz w:val="17"/>
              </w:rPr>
            </w:r>
            <w:r>
              <w:rPr>
                <w:b w:val="0"/>
                <w:sz w:val="17"/>
              </w:rPr>
              <w:t>3</w:t>
            </w:r>
          </w:p>
        </w:tc>
        <w:tc>
          <w:tcPr>
            <w:tcW w:type="dxa" w:w="1872"/>
          </w:tcPr>
          <w:p>
            <w:r>
              <w:rPr>
                <w:sz w:val="17"/>
              </w:rPr>
            </w:r>
            <w:r>
              <w:rPr>
                <w:b w:val="0"/>
                <w:sz w:val="17"/>
              </w:rPr>
              <w:t>1 Jan – 31 Aug</w:t>
            </w:r>
          </w:p>
        </w:tc>
        <w:tc>
          <w:tcPr>
            <w:tcW w:type="dxa" w:w="2736"/>
          </w:tcPr>
          <w:p>
            <w:r>
              <w:rPr>
                <w:sz w:val="17"/>
              </w:rPr>
            </w:r>
            <w:r>
              <w:rPr>
                <w:b w:val="0"/>
                <w:sz w:val="17"/>
              </w:rPr>
              <w:t>01 Sep – 31 Oct</w:t>
            </w:r>
          </w:p>
        </w:tc>
        <w:tc>
          <w:tcPr>
            <w:tcW w:type="dxa" w:w="2016"/>
          </w:tcPr>
          <w:p>
            <w:r>
              <w:rPr>
                <w:sz w:val="17"/>
              </w:rPr>
            </w:r>
            <w:r>
              <w:rPr>
                <w:b w:val="0"/>
                <w:sz w:val="17"/>
              </w:rPr>
              <w:t>37,944</w:t>
            </w:r>
          </w:p>
        </w:tc>
        <w:tc>
          <w:tcPr>
            <w:tcW w:type="dxa" w:w="2160"/>
          </w:tcPr>
          <w:p>
            <w:r>
              <w:rPr>
                <w:sz w:val="17"/>
              </w:rPr>
            </w:r>
            <w:r>
              <w:rPr>
                <w:b w:val="0"/>
                <w:sz w:val="17"/>
              </w:rPr>
              <w:t>9,523 / 9,379</w:t>
            </w:r>
          </w:p>
        </w:tc>
      </w:tr>
      <w:tr>
        <w:tc>
          <w:tcPr>
            <w:tcW w:type="dxa" w:w="720"/>
          </w:tcPr>
          <w:p>
            <w:r>
              <w:rPr>
                <w:sz w:val="17"/>
              </w:rPr>
            </w:r>
            <w:r>
              <w:rPr>
                <w:b w:val="0"/>
                <w:sz w:val="17"/>
              </w:rPr>
              <w:t>Final</w:t>
            </w:r>
          </w:p>
        </w:tc>
        <w:tc>
          <w:tcPr>
            <w:tcW w:type="dxa" w:w="1872"/>
          </w:tcPr>
          <w:p>
            <w:r>
              <w:rPr>
                <w:sz w:val="17"/>
              </w:rPr>
            </w:r>
            <w:r>
              <w:rPr>
                <w:b w:val="0"/>
                <w:sz w:val="17"/>
              </w:rPr>
              <w:t>1 Jan – 31 Oct</w:t>
            </w:r>
          </w:p>
        </w:tc>
        <w:tc>
          <w:tcPr>
            <w:tcW w:type="dxa" w:w="2736"/>
          </w:tcPr>
          <w:p>
            <w:r>
              <w:rPr>
                <w:sz w:val="17"/>
              </w:rPr>
            </w:r>
            <w:r>
              <w:rPr>
                <w:b w:val="0"/>
                <w:sz w:val="17"/>
              </w:rPr>
              <w:t>1 Nov – 31 Dec (validation.csv)</w:t>
            </w:r>
          </w:p>
        </w:tc>
        <w:tc>
          <w:tcPr>
            <w:tcW w:type="dxa" w:w="2016"/>
          </w:tcPr>
          <w:p>
            <w:r>
              <w:rPr>
                <w:sz w:val="17"/>
              </w:rPr>
            </w:r>
            <w:r>
              <w:rPr>
                <w:b w:val="0"/>
                <w:sz w:val="17"/>
              </w:rPr>
              <w:t>47,323</w:t>
            </w:r>
          </w:p>
        </w:tc>
        <w:tc>
          <w:tcPr>
            <w:tcW w:type="dxa" w:w="2160"/>
          </w:tcPr>
          <w:p>
            <w:r>
              <w:rPr>
                <w:sz w:val="17"/>
              </w:rPr>
            </w:r>
            <w:r>
              <w:rPr>
                <w:b w:val="0"/>
                <w:sz w:val="17"/>
              </w:rPr>
              <w:t>12,000 (unlabelled)</w:t>
            </w:r>
          </w:p>
        </w:tc>
      </w:tr>
    </w:tbl>
    <w:p/>
    <w:p>
      <w:r>
        <w:drawing>
          <wp:inline xmlns:a="http://schemas.openxmlformats.org/drawingml/2006/main" xmlns:pic="http://schemas.openxmlformats.org/drawingml/2006/picture">
            <wp:extent cx="5486400" cy="1837809"/>
            <wp:docPr id="4" name="Picture 4"/>
            <wp:cNvGraphicFramePr>
              <a:graphicFrameLocks noChangeAspect="1"/>
            </wp:cNvGraphicFramePr>
            <a:graphic>
              <a:graphicData uri="http://schemas.openxmlformats.org/drawingml/2006/picture">
                <pic:pic>
                  <pic:nvPicPr>
                    <pic:cNvPr id="0" name="20_cv_design.png"/>
                    <pic:cNvPicPr/>
                  </pic:nvPicPr>
                  <pic:blipFill>
                    <a:blip r:embed="rId12"/>
                    <a:stretch>
                      <a:fillRect/>
                    </a:stretch>
                  </pic:blipFill>
                  <pic:spPr>
                    <a:xfrm>
                      <a:off x="0" y="0"/>
                      <a:ext cx="5486400" cy="1837809"/>
                    </a:xfrm>
                    <a:prstGeom prst="rect"/>
                  </pic:spPr>
                </pic:pic>
              </a:graphicData>
            </a:graphic>
          </wp:inline>
        </w:drawing>
      </w:r>
    </w:p>
    <w:p>
      <w:r>
        <w:rPr>
          <w:i/>
          <w:sz w:val="17"/>
        </w:rPr>
        <w:t>Figure 4. Validation design (dates inclusive).</w:t>
      </w:r>
    </w:p>
    <w:p>
      <w:pPr>
        <w:pStyle w:val="Heading3"/>
      </w:pPr>
      <w:r>
        <w:t>Why this design</w:t>
      </w:r>
    </w:p>
    <w:p>
      <w:pPr>
        <w:pStyle w:val="ListBullet"/>
      </w:pPr>
      <w:r>
        <w:rPr>
          <w:b/>
        </w:rPr>
        <w:t>Not random.</w:t>
      </w:r>
      <w:r>
        <w:t xml:space="preserve"> Random K-fold would let the model see loads from the same days it is scored on, hiding the time trend and market shifts and overstating accuracy for Nov–Dec. Every fold here is scored strictly on the future.</w:t>
      </w:r>
    </w:p>
    <w:p>
      <w:pPr>
        <w:pStyle w:val="ListBullet"/>
      </w:pPr>
      <w:r>
        <w:rPr>
          <w:b/>
        </w:rPr>
        <w:t>Three different regimes.</w:t>
      </w:r>
      <w:r>
        <w:t xml:space="preserve"> Three folds cover different market conditions: rising (May–Jun, includes a quarter end), falling (Jul–Aug) and recovering (Sep–Oct, includes a quarter end). Fold 3 is the most recent and closest to the target period, so it gets extra weight when choosing between close candidates.</w:t>
      </w:r>
    </w:p>
    <w:p>
      <w:pPr>
        <w:pStyle w:val="ListBullet"/>
      </w:pPr>
      <w:r>
        <w:rPr>
          <w:b/>
        </w:rPr>
        <w:t>No leakage.</w:t>
      </w:r>
      <w:r>
        <w:t xml:space="preserve"> Anything that uses labels — the anomaly detector, the Ridge stage, the tree stage, blending weights — is fitted only on that fold's training months. Feature imputation uses only feature columns. Every candidate model uses the same rows in every fold.</w:t>
      </w:r>
    </w:p>
    <w:p>
      <w:pPr>
        <w:pStyle w:val="ListBullet"/>
      </w:pPr>
      <w:r>
        <w:rPr>
          <w:b/>
        </w:rPr>
        <w:t>Metrics.</w:t>
      </w:r>
      <w:r>
        <w:t xml:space="preserve"> Metrics are on the dollar scale (predictions are exponentiated). Two evaluation subsets: clean labels (primary: excludes anomalous labels as flagged by the fold's own detector) and all labels (secondary). Fold-mean and pooled values are both saved; they agree to 0.01 points.</w:t>
      </w:r>
    </w:p>
    <w:p>
      <w:r>
        <w:t>Definitions (y = actual, ŷ = prediction, n loads):  MAE = mean |ŷ − y|;  RMSE = √mean (ŷ − y)²;  MAPE = 100 × mean |ŷ − y| / y;  Bias = 100 × mean (ŷ − y) / y, so positive bias = over-prediction. A MAPE of 1.6% is an average; it does not mean every load is within that (69% are within 2% and 98% within 5%, see diagnostics).</w:t>
      </w:r>
    </w:p>
    <w:p>
      <w:pPr>
        <w:pStyle w:val="Heading1"/>
      </w:pPr>
      <w:r>
        <w:t>4. Model selection</w:t>
      </w:r>
    </w:p>
    <w:p>
      <w:r>
        <w:t>Candidate families were chosen to cover the standard options for tabular regression: a rule-of-thumb baseline, linear models (Ridge on log(rate), and a Gamma GLM with log link, built for positive skewed targets), instance-based (k-nearest neighbours), bagged trees (Random Forest, Extra Trees), gradient boosting (LightGBM, XGBoost, HistGradientBoosting) and a neural network (MLP). Each non-linear learner was run two ways:</w:t>
      </w:r>
    </w:p>
    <w:p>
      <w:pPr>
        <w:pStyle w:val="ListBullet"/>
      </w:pPr>
      <w:r>
        <w:rPr>
          <w:b/>
        </w:rPr>
        <w:t>Direct:</w:t>
      </w:r>
      <w:r>
        <w:t xml:space="preserve"> the algorithm predicts log(rate) from all features, including a time-trend feature.</w:t>
      </w:r>
    </w:p>
    <w:p>
      <w:pPr>
        <w:pStyle w:val="ListBullet"/>
      </w:pPr>
      <w:r>
        <w:rPr>
          <w:b/>
        </w:rPr>
        <w:t>Hybrid:</w:t>
      </w:r>
      <w:r>
        <w:t xml:space="preserve"> Ridge carries the drivers that must extrapolate (distance, equipment, weight, market index, quarter-end ramp, linear trend); the algorithm learns only the Ridge residual from features without absolute time (coordinates, circuity, weight, market index, quote signal, equipment, calendar position).</w:t>
      </w:r>
    </w:p>
    <w:p>
      <w:r>
        <w:t>Hyper-parameters were set once from standard defaults, not tuned per fold; tuning on three folds would mostly fit noise.</w:t>
      </w:r>
    </w:p>
    <w:tbl>
      <w:tblPr>
        <w:tblStyle w:val="TableGrid"/>
        <w:tblW w:type="auto" w:w="0"/>
        <w:jc w:val="center"/>
        <w:tblLayout w:type="fixed"/>
        <w:tblLook w:firstColumn="1" w:firstRow="1" w:lastColumn="0" w:lastRow="0" w:noHBand="0" w:noVBand="1" w:val="04A0"/>
        <w:tblLayout w:type="fixed"/>
      </w:tblPr>
      <w:tblGrid>
        <w:gridCol w:w="3744"/>
        <w:gridCol w:w="1296"/>
        <w:gridCol w:w="1152"/>
        <w:gridCol w:w="864"/>
        <w:gridCol w:w="1007"/>
        <w:gridCol w:w="1296"/>
      </w:tblGrid>
      <w:tr>
        <w:tc>
          <w:tcPr>
            <w:tcW w:type="dxa" w:w="3744"/>
            <w:shd w:val="clear" w:color="auto" w:fill="064A56"/>
          </w:tcPr>
          <w:p>
            <w:r>
              <w:rPr>
                <w:sz w:val="17"/>
              </w:rPr>
            </w:r>
            <w:r>
              <w:rPr>
                <w:b/>
                <w:color w:val="FFFFFF"/>
                <w:sz w:val="17"/>
              </w:rPr>
              <w:t>Model</w:t>
            </w:r>
          </w:p>
        </w:tc>
        <w:tc>
          <w:tcPr>
            <w:tcW w:type="dxa" w:w="1296"/>
            <w:shd w:val="clear" w:color="auto" w:fill="064A56"/>
          </w:tcPr>
          <w:p>
            <w:r>
              <w:rPr>
                <w:sz w:val="17"/>
              </w:rPr>
            </w:r>
            <w:r>
              <w:rPr>
                <w:b/>
                <w:color w:val="FFFFFF"/>
                <w:sz w:val="17"/>
              </w:rPr>
              <w:t>MAPE (mean of folds)</w:t>
            </w:r>
          </w:p>
        </w:tc>
        <w:tc>
          <w:tcPr>
            <w:tcW w:type="dxa" w:w="1152"/>
            <w:shd w:val="clear" w:color="auto" w:fill="064A56"/>
          </w:tcPr>
          <w:p>
            <w:r>
              <w:rPr>
                <w:sz w:val="17"/>
              </w:rPr>
            </w:r>
            <w:r>
              <w:rPr>
                <w:b/>
                <w:color w:val="FFFFFF"/>
                <w:sz w:val="17"/>
              </w:rPr>
              <w:t>MAPE fold 3</w:t>
            </w:r>
          </w:p>
        </w:tc>
        <w:tc>
          <w:tcPr>
            <w:tcW w:type="dxa" w:w="864"/>
            <w:shd w:val="clear" w:color="auto" w:fill="064A56"/>
          </w:tcPr>
          <w:p>
            <w:r>
              <w:rPr>
                <w:sz w:val="17"/>
              </w:rPr>
            </w:r>
            <w:r>
              <w:rPr>
                <w:b/>
                <w:color w:val="FFFFFF"/>
                <w:sz w:val="17"/>
              </w:rPr>
              <w:t>MAE</w:t>
            </w:r>
          </w:p>
        </w:tc>
        <w:tc>
          <w:tcPr>
            <w:tcW w:type="dxa" w:w="1008"/>
            <w:shd w:val="clear" w:color="auto" w:fill="064A56"/>
          </w:tcPr>
          <w:p>
            <w:r>
              <w:rPr>
                <w:sz w:val="17"/>
              </w:rPr>
            </w:r>
            <w:r>
              <w:rPr>
                <w:b/>
                <w:color w:val="FFFFFF"/>
                <w:sz w:val="17"/>
              </w:rPr>
              <w:t>Bias</w:t>
            </w:r>
          </w:p>
        </w:tc>
        <w:tc>
          <w:tcPr>
            <w:tcW w:type="dxa" w:w="1296"/>
            <w:shd w:val="clear" w:color="auto" w:fill="064A56"/>
          </w:tcPr>
          <w:p>
            <w:r>
              <w:rPr>
                <w:sz w:val="17"/>
              </w:rPr>
            </w:r>
            <w:r>
              <w:rPr>
                <w:b/>
                <w:color w:val="FFFFFF"/>
                <w:sz w:val="17"/>
              </w:rPr>
              <w:t>MAPE all labels</w:t>
            </w:r>
          </w:p>
        </w:tc>
      </w:tr>
      <w:tr>
        <w:tc>
          <w:tcPr>
            <w:tcW w:type="dxa" w:w="3744"/>
          </w:tcPr>
          <w:p>
            <w:r>
              <w:rPr>
                <w:sz w:val="17"/>
              </w:rPr>
            </w:r>
            <w:r>
              <w:rPr>
                <w:b/>
                <w:sz w:val="17"/>
              </w:rPr>
              <w:t>Ensemble: LightGBM + XGBoost + Extra Trees</w:t>
            </w:r>
          </w:p>
        </w:tc>
        <w:tc>
          <w:tcPr>
            <w:tcW w:type="dxa" w:w="1296"/>
          </w:tcPr>
          <w:p>
            <w:r>
              <w:rPr>
                <w:sz w:val="17"/>
              </w:rPr>
            </w:r>
            <w:r>
              <w:rPr>
                <w:b/>
                <w:sz w:val="17"/>
              </w:rPr>
              <w:t>1.61%</w:t>
            </w:r>
          </w:p>
        </w:tc>
        <w:tc>
          <w:tcPr>
            <w:tcW w:type="dxa" w:w="1152"/>
          </w:tcPr>
          <w:p>
            <w:r>
              <w:rPr>
                <w:sz w:val="17"/>
              </w:rPr>
            </w:r>
            <w:r>
              <w:rPr>
                <w:b/>
                <w:sz w:val="17"/>
              </w:rPr>
              <w:t>1.39%</w:t>
            </w:r>
          </w:p>
        </w:tc>
        <w:tc>
          <w:tcPr>
            <w:tcW w:type="dxa" w:w="864"/>
          </w:tcPr>
          <w:p>
            <w:r>
              <w:rPr>
                <w:sz w:val="17"/>
              </w:rPr>
            </w:r>
            <w:r>
              <w:rPr>
                <w:b/>
                <w:sz w:val="17"/>
              </w:rPr>
              <w:t>$39</w:t>
            </w:r>
          </w:p>
        </w:tc>
        <w:tc>
          <w:tcPr>
            <w:tcW w:type="dxa" w:w="1008"/>
          </w:tcPr>
          <w:p>
            <w:r>
              <w:rPr>
                <w:sz w:val="17"/>
              </w:rPr>
            </w:r>
            <w:r>
              <w:rPr>
                <w:b/>
                <w:sz w:val="17"/>
              </w:rPr>
              <w:t>+0.33%</w:t>
            </w:r>
          </w:p>
        </w:tc>
        <w:tc>
          <w:tcPr>
            <w:tcW w:type="dxa" w:w="1296"/>
          </w:tcPr>
          <w:p>
            <w:r>
              <w:rPr>
                <w:sz w:val="17"/>
              </w:rPr>
            </w:r>
            <w:r>
              <w:rPr>
                <w:b/>
                <w:sz w:val="17"/>
              </w:rPr>
              <w:t>3.98%</w:t>
            </w:r>
          </w:p>
        </w:tc>
      </w:tr>
      <w:tr>
        <w:tc>
          <w:tcPr>
            <w:tcW w:type="dxa" w:w="3744"/>
          </w:tcPr>
          <w:p>
            <w:r>
              <w:rPr>
                <w:sz w:val="17"/>
              </w:rPr>
            </w:r>
            <w:r>
              <w:rPr>
                <w:b w:val="0"/>
                <w:sz w:val="17"/>
              </w:rPr>
              <w:t>LightGBM — hybrid (Ridge + LightGBM)</w:t>
            </w:r>
          </w:p>
        </w:tc>
        <w:tc>
          <w:tcPr>
            <w:tcW w:type="dxa" w:w="1296"/>
          </w:tcPr>
          <w:p>
            <w:r>
              <w:rPr>
                <w:sz w:val="17"/>
              </w:rPr>
            </w:r>
            <w:r>
              <w:rPr>
                <w:b w:val="0"/>
                <w:sz w:val="17"/>
              </w:rPr>
              <w:t>1.68%</w:t>
            </w:r>
          </w:p>
        </w:tc>
        <w:tc>
          <w:tcPr>
            <w:tcW w:type="dxa" w:w="1152"/>
          </w:tcPr>
          <w:p>
            <w:r>
              <w:rPr>
                <w:sz w:val="17"/>
              </w:rPr>
            </w:r>
            <w:r>
              <w:rPr>
                <w:b w:val="0"/>
                <w:sz w:val="17"/>
              </w:rPr>
              <w:t>1.40%</w:t>
            </w:r>
          </w:p>
        </w:tc>
        <w:tc>
          <w:tcPr>
            <w:tcW w:type="dxa" w:w="864"/>
          </w:tcPr>
          <w:p>
            <w:r>
              <w:rPr>
                <w:sz w:val="17"/>
              </w:rPr>
            </w:r>
            <w:r>
              <w:rPr>
                <w:b w:val="0"/>
                <w:sz w:val="17"/>
              </w:rPr>
              <w:t>$41</w:t>
            </w:r>
          </w:p>
        </w:tc>
        <w:tc>
          <w:tcPr>
            <w:tcW w:type="dxa" w:w="1008"/>
          </w:tcPr>
          <w:p>
            <w:r>
              <w:rPr>
                <w:sz w:val="17"/>
              </w:rPr>
            </w:r>
            <w:r>
              <w:rPr>
                <w:b w:val="0"/>
                <w:sz w:val="17"/>
              </w:rPr>
              <w:t>+0.41%</w:t>
            </w:r>
          </w:p>
        </w:tc>
        <w:tc>
          <w:tcPr>
            <w:tcW w:type="dxa" w:w="1296"/>
          </w:tcPr>
          <w:p>
            <w:r>
              <w:rPr>
                <w:sz w:val="17"/>
              </w:rPr>
            </w:r>
            <w:r>
              <w:rPr>
                <w:b w:val="0"/>
                <w:sz w:val="17"/>
              </w:rPr>
              <w:t>4.05%</w:t>
            </w:r>
          </w:p>
        </w:tc>
      </w:tr>
      <w:tr>
        <w:tc>
          <w:tcPr>
            <w:tcW w:type="dxa" w:w="3744"/>
          </w:tcPr>
          <w:p>
            <w:r>
              <w:rPr>
                <w:sz w:val="17"/>
              </w:rPr>
            </w:r>
            <w:r>
              <w:rPr>
                <w:b w:val="0"/>
                <w:sz w:val="17"/>
              </w:rPr>
              <w:t>XGBoost — hybrid (Ridge + XGBoost)</w:t>
            </w:r>
          </w:p>
        </w:tc>
        <w:tc>
          <w:tcPr>
            <w:tcW w:type="dxa" w:w="1296"/>
          </w:tcPr>
          <w:p>
            <w:r>
              <w:rPr>
                <w:sz w:val="17"/>
              </w:rPr>
            </w:r>
            <w:r>
              <w:rPr>
                <w:b w:val="0"/>
                <w:sz w:val="17"/>
              </w:rPr>
              <w:t>1.67%</w:t>
            </w:r>
          </w:p>
        </w:tc>
        <w:tc>
          <w:tcPr>
            <w:tcW w:type="dxa" w:w="1152"/>
          </w:tcPr>
          <w:p>
            <w:r>
              <w:rPr>
                <w:sz w:val="17"/>
              </w:rPr>
            </w:r>
            <w:r>
              <w:rPr>
                <w:b w:val="0"/>
                <w:sz w:val="17"/>
              </w:rPr>
              <w:t>1.38%</w:t>
            </w:r>
          </w:p>
        </w:tc>
        <w:tc>
          <w:tcPr>
            <w:tcW w:type="dxa" w:w="864"/>
          </w:tcPr>
          <w:p>
            <w:r>
              <w:rPr>
                <w:sz w:val="17"/>
              </w:rPr>
            </w:r>
            <w:r>
              <w:rPr>
                <w:b w:val="0"/>
                <w:sz w:val="17"/>
              </w:rPr>
              <w:t>$40</w:t>
            </w:r>
          </w:p>
        </w:tc>
        <w:tc>
          <w:tcPr>
            <w:tcW w:type="dxa" w:w="1008"/>
          </w:tcPr>
          <w:p>
            <w:r>
              <w:rPr>
                <w:sz w:val="17"/>
              </w:rPr>
            </w:r>
            <w:r>
              <w:rPr>
                <w:b w:val="0"/>
                <w:sz w:val="17"/>
              </w:rPr>
              <w:t>+0.34%</w:t>
            </w:r>
          </w:p>
        </w:tc>
        <w:tc>
          <w:tcPr>
            <w:tcW w:type="dxa" w:w="1296"/>
          </w:tcPr>
          <w:p>
            <w:r>
              <w:rPr>
                <w:sz w:val="17"/>
              </w:rPr>
            </w:r>
            <w:r>
              <w:rPr>
                <w:b w:val="0"/>
                <w:sz w:val="17"/>
              </w:rPr>
              <w:t>4.04%</w:t>
            </w:r>
          </w:p>
        </w:tc>
      </w:tr>
      <w:tr>
        <w:tc>
          <w:tcPr>
            <w:tcW w:type="dxa" w:w="3744"/>
          </w:tcPr>
          <w:p>
            <w:r>
              <w:rPr>
                <w:sz w:val="17"/>
              </w:rPr>
            </w:r>
            <w:r>
              <w:rPr>
                <w:b w:val="0"/>
                <w:sz w:val="17"/>
              </w:rPr>
              <w:t>Extra Trees — hybrid (Ridge + Extra Trees)</w:t>
            </w:r>
          </w:p>
        </w:tc>
        <w:tc>
          <w:tcPr>
            <w:tcW w:type="dxa" w:w="1296"/>
          </w:tcPr>
          <w:p>
            <w:r>
              <w:rPr>
                <w:sz w:val="17"/>
              </w:rPr>
            </w:r>
            <w:r>
              <w:rPr>
                <w:b w:val="0"/>
                <w:sz w:val="17"/>
              </w:rPr>
              <w:t>1.66%</w:t>
            </w:r>
          </w:p>
        </w:tc>
        <w:tc>
          <w:tcPr>
            <w:tcW w:type="dxa" w:w="1152"/>
          </w:tcPr>
          <w:p>
            <w:r>
              <w:rPr>
                <w:sz w:val="17"/>
              </w:rPr>
            </w:r>
            <w:r>
              <w:rPr>
                <w:b w:val="0"/>
                <w:sz w:val="17"/>
              </w:rPr>
              <w:t>1.54%</w:t>
            </w:r>
          </w:p>
        </w:tc>
        <w:tc>
          <w:tcPr>
            <w:tcW w:type="dxa" w:w="864"/>
          </w:tcPr>
          <w:p>
            <w:r>
              <w:rPr>
                <w:sz w:val="17"/>
              </w:rPr>
            </w:r>
            <w:r>
              <w:rPr>
                <w:b w:val="0"/>
                <w:sz w:val="17"/>
              </w:rPr>
              <w:t>$40</w:t>
            </w:r>
          </w:p>
        </w:tc>
        <w:tc>
          <w:tcPr>
            <w:tcW w:type="dxa" w:w="1008"/>
          </w:tcPr>
          <w:p>
            <w:r>
              <w:rPr>
                <w:sz w:val="17"/>
              </w:rPr>
            </w:r>
            <w:r>
              <w:rPr>
                <w:b w:val="0"/>
                <w:sz w:val="17"/>
              </w:rPr>
              <w:t>+0.25%</w:t>
            </w:r>
          </w:p>
        </w:tc>
        <w:tc>
          <w:tcPr>
            <w:tcW w:type="dxa" w:w="1296"/>
          </w:tcPr>
          <w:p>
            <w:r>
              <w:rPr>
                <w:sz w:val="17"/>
              </w:rPr>
            </w:r>
            <w:r>
              <w:rPr>
                <w:b w:val="0"/>
                <w:sz w:val="17"/>
              </w:rPr>
              <w:t>4.04%</w:t>
            </w:r>
          </w:p>
        </w:tc>
      </w:tr>
      <w:tr>
        <w:tc>
          <w:tcPr>
            <w:tcW w:type="dxa" w:w="3744"/>
          </w:tcPr>
          <w:p>
            <w:r>
              <w:rPr>
                <w:sz w:val="17"/>
              </w:rPr>
            </w:r>
            <w:r>
              <w:rPr>
                <w:b w:val="0"/>
                <w:sz w:val="17"/>
              </w:rPr>
              <w:t>Random Forest — hybrid (Ridge + Random Forest)</w:t>
            </w:r>
          </w:p>
        </w:tc>
        <w:tc>
          <w:tcPr>
            <w:tcW w:type="dxa" w:w="1296"/>
          </w:tcPr>
          <w:p>
            <w:r>
              <w:rPr>
                <w:sz w:val="17"/>
              </w:rPr>
            </w:r>
            <w:r>
              <w:rPr>
                <w:b w:val="0"/>
                <w:sz w:val="17"/>
              </w:rPr>
              <w:t>1.65%</w:t>
            </w:r>
          </w:p>
        </w:tc>
        <w:tc>
          <w:tcPr>
            <w:tcW w:type="dxa" w:w="1152"/>
          </w:tcPr>
          <w:p>
            <w:r>
              <w:rPr>
                <w:sz w:val="17"/>
              </w:rPr>
            </w:r>
            <w:r>
              <w:rPr>
                <w:b w:val="0"/>
                <w:sz w:val="17"/>
              </w:rPr>
              <w:t>1.52%</w:t>
            </w:r>
          </w:p>
        </w:tc>
        <w:tc>
          <w:tcPr>
            <w:tcW w:type="dxa" w:w="864"/>
          </w:tcPr>
          <w:p>
            <w:r>
              <w:rPr>
                <w:sz w:val="17"/>
              </w:rPr>
            </w:r>
            <w:r>
              <w:rPr>
                <w:b w:val="0"/>
                <w:sz w:val="17"/>
              </w:rPr>
              <w:t>$40</w:t>
            </w:r>
          </w:p>
        </w:tc>
        <w:tc>
          <w:tcPr>
            <w:tcW w:type="dxa" w:w="1008"/>
          </w:tcPr>
          <w:p>
            <w:r>
              <w:rPr>
                <w:sz w:val="17"/>
              </w:rPr>
            </w:r>
            <w:r>
              <w:rPr>
                <w:b w:val="0"/>
                <w:sz w:val="17"/>
              </w:rPr>
              <w:t>+0.30%</w:t>
            </w:r>
          </w:p>
        </w:tc>
        <w:tc>
          <w:tcPr>
            <w:tcW w:type="dxa" w:w="1296"/>
          </w:tcPr>
          <w:p>
            <w:r>
              <w:rPr>
                <w:sz w:val="17"/>
              </w:rPr>
            </w:r>
            <w:r>
              <w:rPr>
                <w:b w:val="0"/>
                <w:sz w:val="17"/>
              </w:rPr>
              <w:t>4.03%</w:t>
            </w:r>
          </w:p>
        </w:tc>
      </w:tr>
      <w:tr>
        <w:tc>
          <w:tcPr>
            <w:tcW w:type="dxa" w:w="3744"/>
          </w:tcPr>
          <w:p>
            <w:r>
              <w:rPr>
                <w:sz w:val="17"/>
              </w:rPr>
            </w:r>
            <w:r>
              <w:rPr>
                <w:b w:val="0"/>
                <w:sz w:val="17"/>
              </w:rPr>
              <w:t>LightGBM — direct</w:t>
            </w:r>
          </w:p>
        </w:tc>
        <w:tc>
          <w:tcPr>
            <w:tcW w:type="dxa" w:w="1296"/>
          </w:tcPr>
          <w:p>
            <w:r>
              <w:rPr>
                <w:sz w:val="17"/>
              </w:rPr>
            </w:r>
            <w:r>
              <w:rPr>
                <w:b w:val="0"/>
                <w:sz w:val="17"/>
              </w:rPr>
              <w:t>2.17%</w:t>
            </w:r>
          </w:p>
        </w:tc>
        <w:tc>
          <w:tcPr>
            <w:tcW w:type="dxa" w:w="1152"/>
          </w:tcPr>
          <w:p>
            <w:r>
              <w:rPr>
                <w:sz w:val="17"/>
              </w:rPr>
            </w:r>
            <w:r>
              <w:rPr>
                <w:b w:val="0"/>
                <w:sz w:val="17"/>
              </w:rPr>
              <w:t>1.95%</w:t>
            </w:r>
          </w:p>
        </w:tc>
        <w:tc>
          <w:tcPr>
            <w:tcW w:type="dxa" w:w="864"/>
          </w:tcPr>
          <w:p>
            <w:r>
              <w:rPr>
                <w:sz w:val="17"/>
              </w:rPr>
            </w:r>
            <w:r>
              <w:rPr>
                <w:b w:val="0"/>
                <w:sz w:val="17"/>
              </w:rPr>
              <w:t>$51</w:t>
            </w:r>
          </w:p>
        </w:tc>
        <w:tc>
          <w:tcPr>
            <w:tcW w:type="dxa" w:w="1008"/>
          </w:tcPr>
          <w:p>
            <w:r>
              <w:rPr>
                <w:sz w:val="17"/>
              </w:rPr>
            </w:r>
            <w:r>
              <w:rPr>
                <w:b w:val="0"/>
                <w:sz w:val="17"/>
              </w:rPr>
              <w:t>-0.65%</w:t>
            </w:r>
          </w:p>
        </w:tc>
        <w:tc>
          <w:tcPr>
            <w:tcW w:type="dxa" w:w="1296"/>
          </w:tcPr>
          <w:p>
            <w:r>
              <w:rPr>
                <w:sz w:val="17"/>
              </w:rPr>
            </w:r>
            <w:r>
              <w:rPr>
                <w:b w:val="0"/>
                <w:sz w:val="17"/>
              </w:rPr>
              <w:t>4.51%</w:t>
            </w:r>
          </w:p>
        </w:tc>
      </w:tr>
      <w:tr>
        <w:tc>
          <w:tcPr>
            <w:tcW w:type="dxa" w:w="3744"/>
          </w:tcPr>
          <w:p>
            <w:r>
              <w:rPr>
                <w:sz w:val="17"/>
              </w:rPr>
            </w:r>
            <w:r>
              <w:rPr>
                <w:b w:val="0"/>
                <w:sz w:val="17"/>
              </w:rPr>
              <w:t>XGBoost — direct</w:t>
            </w:r>
          </w:p>
        </w:tc>
        <w:tc>
          <w:tcPr>
            <w:tcW w:type="dxa" w:w="1296"/>
          </w:tcPr>
          <w:p>
            <w:r>
              <w:rPr>
                <w:sz w:val="17"/>
              </w:rPr>
            </w:r>
            <w:r>
              <w:rPr>
                <w:b w:val="0"/>
                <w:sz w:val="17"/>
              </w:rPr>
              <w:t>2.26%</w:t>
            </w:r>
          </w:p>
        </w:tc>
        <w:tc>
          <w:tcPr>
            <w:tcW w:type="dxa" w:w="1152"/>
          </w:tcPr>
          <w:p>
            <w:r>
              <w:rPr>
                <w:sz w:val="17"/>
              </w:rPr>
            </w:r>
            <w:r>
              <w:rPr>
                <w:b w:val="0"/>
                <w:sz w:val="17"/>
              </w:rPr>
              <w:t>2.00%</w:t>
            </w:r>
          </w:p>
        </w:tc>
        <w:tc>
          <w:tcPr>
            <w:tcW w:type="dxa" w:w="864"/>
          </w:tcPr>
          <w:p>
            <w:r>
              <w:rPr>
                <w:sz w:val="17"/>
              </w:rPr>
            </w:r>
            <w:r>
              <w:rPr>
                <w:b w:val="0"/>
                <w:sz w:val="17"/>
              </w:rPr>
              <w:t>$53</w:t>
            </w:r>
          </w:p>
        </w:tc>
        <w:tc>
          <w:tcPr>
            <w:tcW w:type="dxa" w:w="1008"/>
          </w:tcPr>
          <w:p>
            <w:r>
              <w:rPr>
                <w:sz w:val="17"/>
              </w:rPr>
            </w:r>
            <w:r>
              <w:rPr>
                <w:b w:val="0"/>
                <w:sz w:val="17"/>
              </w:rPr>
              <w:t>-0.83%</w:t>
            </w:r>
          </w:p>
        </w:tc>
        <w:tc>
          <w:tcPr>
            <w:tcW w:type="dxa" w:w="1296"/>
          </w:tcPr>
          <w:p>
            <w:r>
              <w:rPr>
                <w:sz w:val="17"/>
              </w:rPr>
            </w:r>
            <w:r>
              <w:rPr>
                <w:b w:val="0"/>
                <w:sz w:val="17"/>
              </w:rPr>
              <w:t>4.59%</w:t>
            </w:r>
          </w:p>
        </w:tc>
      </w:tr>
      <w:tr>
        <w:tc>
          <w:tcPr>
            <w:tcW w:type="dxa" w:w="3744"/>
          </w:tcPr>
          <w:p>
            <w:r>
              <w:rPr>
                <w:sz w:val="17"/>
              </w:rPr>
            </w:r>
            <w:r>
              <w:rPr>
                <w:b w:val="0"/>
                <w:sz w:val="17"/>
              </w:rPr>
              <w:t>Random Forest — direct</w:t>
            </w:r>
          </w:p>
        </w:tc>
        <w:tc>
          <w:tcPr>
            <w:tcW w:type="dxa" w:w="1296"/>
          </w:tcPr>
          <w:p>
            <w:r>
              <w:rPr>
                <w:sz w:val="17"/>
              </w:rPr>
            </w:r>
            <w:r>
              <w:rPr>
                <w:b w:val="0"/>
                <w:sz w:val="17"/>
              </w:rPr>
              <w:t>2.67%</w:t>
            </w:r>
          </w:p>
        </w:tc>
        <w:tc>
          <w:tcPr>
            <w:tcW w:type="dxa" w:w="1152"/>
          </w:tcPr>
          <w:p>
            <w:r>
              <w:rPr>
                <w:sz w:val="17"/>
              </w:rPr>
            </w:r>
            <w:r>
              <w:rPr>
                <w:b w:val="0"/>
                <w:sz w:val="17"/>
              </w:rPr>
              <w:t>2.29%</w:t>
            </w:r>
          </w:p>
        </w:tc>
        <w:tc>
          <w:tcPr>
            <w:tcW w:type="dxa" w:w="864"/>
          </w:tcPr>
          <w:p>
            <w:r>
              <w:rPr>
                <w:sz w:val="17"/>
              </w:rPr>
            </w:r>
            <w:r>
              <w:rPr>
                <w:b w:val="0"/>
                <w:sz w:val="17"/>
              </w:rPr>
              <w:t>$65</w:t>
            </w:r>
          </w:p>
        </w:tc>
        <w:tc>
          <w:tcPr>
            <w:tcW w:type="dxa" w:w="1008"/>
          </w:tcPr>
          <w:p>
            <w:r>
              <w:rPr>
                <w:sz w:val="17"/>
              </w:rPr>
            </w:r>
            <w:r>
              <w:rPr>
                <w:b w:val="0"/>
                <w:sz w:val="17"/>
              </w:rPr>
              <w:t>-1.14%</w:t>
            </w:r>
          </w:p>
        </w:tc>
        <w:tc>
          <w:tcPr>
            <w:tcW w:type="dxa" w:w="1296"/>
          </w:tcPr>
          <w:p>
            <w:r>
              <w:rPr>
                <w:sz w:val="17"/>
              </w:rPr>
            </w:r>
            <w:r>
              <w:rPr>
                <w:b w:val="0"/>
                <w:sz w:val="17"/>
              </w:rPr>
              <w:t>4.99%</w:t>
            </w:r>
          </w:p>
        </w:tc>
      </w:tr>
      <w:tr>
        <w:tc>
          <w:tcPr>
            <w:tcW w:type="dxa" w:w="3744"/>
          </w:tcPr>
          <w:p>
            <w:r>
              <w:rPr>
                <w:sz w:val="17"/>
              </w:rPr>
            </w:r>
            <w:r>
              <w:rPr>
                <w:b w:val="0"/>
                <w:sz w:val="17"/>
              </w:rPr>
              <w:t>Ridge (log-linear)</w:t>
            </w:r>
          </w:p>
        </w:tc>
        <w:tc>
          <w:tcPr>
            <w:tcW w:type="dxa" w:w="1296"/>
          </w:tcPr>
          <w:p>
            <w:r>
              <w:rPr>
                <w:sz w:val="17"/>
              </w:rPr>
            </w:r>
            <w:r>
              <w:rPr>
                <w:b w:val="0"/>
                <w:sz w:val="17"/>
              </w:rPr>
              <w:t>2.83%</w:t>
            </w:r>
          </w:p>
        </w:tc>
        <w:tc>
          <w:tcPr>
            <w:tcW w:type="dxa" w:w="1152"/>
          </w:tcPr>
          <w:p>
            <w:r>
              <w:rPr>
                <w:sz w:val="17"/>
              </w:rPr>
            </w:r>
            <w:r>
              <w:rPr>
                <w:b w:val="0"/>
                <w:sz w:val="17"/>
              </w:rPr>
              <w:t>2.77%</w:t>
            </w:r>
          </w:p>
        </w:tc>
        <w:tc>
          <w:tcPr>
            <w:tcW w:type="dxa" w:w="864"/>
          </w:tcPr>
          <w:p>
            <w:r>
              <w:rPr>
                <w:sz w:val="17"/>
              </w:rPr>
            </w:r>
            <w:r>
              <w:rPr>
                <w:b w:val="0"/>
                <w:sz w:val="17"/>
              </w:rPr>
              <w:t>$60</w:t>
            </w:r>
          </w:p>
        </w:tc>
        <w:tc>
          <w:tcPr>
            <w:tcW w:type="dxa" w:w="1008"/>
          </w:tcPr>
          <w:p>
            <w:r>
              <w:rPr>
                <w:sz w:val="17"/>
              </w:rPr>
            </w:r>
            <w:r>
              <w:rPr>
                <w:b w:val="0"/>
                <w:sz w:val="17"/>
              </w:rPr>
              <w:t>+0.22%</w:t>
            </w:r>
          </w:p>
        </w:tc>
        <w:tc>
          <w:tcPr>
            <w:tcW w:type="dxa" w:w="1296"/>
          </w:tcPr>
          <w:p>
            <w:r>
              <w:rPr>
                <w:sz w:val="17"/>
              </w:rPr>
            </w:r>
            <w:r>
              <w:rPr>
                <w:b w:val="0"/>
                <w:sz w:val="17"/>
              </w:rPr>
              <w:t>5.19%</w:t>
            </w:r>
          </w:p>
        </w:tc>
      </w:tr>
      <w:tr>
        <w:tc>
          <w:tcPr>
            <w:tcW w:type="dxa" w:w="3744"/>
          </w:tcPr>
          <w:p>
            <w:r>
              <w:rPr>
                <w:sz w:val="17"/>
              </w:rPr>
            </w:r>
            <w:r>
              <w:rPr>
                <w:b w:val="0"/>
                <w:sz w:val="17"/>
              </w:rPr>
              <w:t>Gamma GLM (log link)</w:t>
            </w:r>
          </w:p>
        </w:tc>
        <w:tc>
          <w:tcPr>
            <w:tcW w:type="dxa" w:w="1296"/>
          </w:tcPr>
          <w:p>
            <w:r>
              <w:rPr>
                <w:sz w:val="17"/>
              </w:rPr>
            </w:r>
            <w:r>
              <w:rPr>
                <w:b w:val="0"/>
                <w:sz w:val="17"/>
              </w:rPr>
              <w:t>2.83%</w:t>
            </w:r>
          </w:p>
        </w:tc>
        <w:tc>
          <w:tcPr>
            <w:tcW w:type="dxa" w:w="1152"/>
          </w:tcPr>
          <w:p>
            <w:r>
              <w:rPr>
                <w:sz w:val="17"/>
              </w:rPr>
            </w:r>
            <w:r>
              <w:rPr>
                <w:b w:val="0"/>
                <w:sz w:val="17"/>
              </w:rPr>
              <w:t>2.76%</w:t>
            </w:r>
          </w:p>
        </w:tc>
        <w:tc>
          <w:tcPr>
            <w:tcW w:type="dxa" w:w="864"/>
          </w:tcPr>
          <w:p>
            <w:r>
              <w:rPr>
                <w:sz w:val="17"/>
              </w:rPr>
            </w:r>
            <w:r>
              <w:rPr>
                <w:b w:val="0"/>
                <w:sz w:val="17"/>
              </w:rPr>
              <w:t>$60</w:t>
            </w:r>
          </w:p>
        </w:tc>
        <w:tc>
          <w:tcPr>
            <w:tcW w:type="dxa" w:w="1008"/>
          </w:tcPr>
          <w:p>
            <w:r>
              <w:rPr>
                <w:sz w:val="17"/>
              </w:rPr>
            </w:r>
            <w:r>
              <w:rPr>
                <w:b w:val="0"/>
                <w:sz w:val="17"/>
              </w:rPr>
              <w:t>+0.28%</w:t>
            </w:r>
          </w:p>
        </w:tc>
        <w:tc>
          <w:tcPr>
            <w:tcW w:type="dxa" w:w="1296"/>
          </w:tcPr>
          <w:p>
            <w:r>
              <w:rPr>
                <w:sz w:val="17"/>
              </w:rPr>
            </w:r>
            <w:r>
              <w:rPr>
                <w:b w:val="0"/>
                <w:sz w:val="17"/>
              </w:rPr>
              <w:t>5.19%</w:t>
            </w:r>
          </w:p>
        </w:tc>
      </w:tr>
      <w:tr>
        <w:tc>
          <w:tcPr>
            <w:tcW w:type="dxa" w:w="3744"/>
          </w:tcPr>
          <w:p>
            <w:r>
              <w:rPr>
                <w:sz w:val="17"/>
              </w:rPr>
            </w:r>
            <w:r>
              <w:rPr>
                <w:b w:val="0"/>
                <w:sz w:val="17"/>
              </w:rPr>
              <w:t>Baseline: median $/mile</w:t>
            </w:r>
          </w:p>
        </w:tc>
        <w:tc>
          <w:tcPr>
            <w:tcW w:type="dxa" w:w="1296"/>
          </w:tcPr>
          <w:p>
            <w:r>
              <w:rPr>
                <w:sz w:val="17"/>
              </w:rPr>
            </w:r>
            <w:r>
              <w:rPr>
                <w:b w:val="0"/>
                <w:sz w:val="17"/>
              </w:rPr>
              <w:t>4.64%</w:t>
            </w:r>
          </w:p>
        </w:tc>
        <w:tc>
          <w:tcPr>
            <w:tcW w:type="dxa" w:w="1152"/>
          </w:tcPr>
          <w:p>
            <w:r>
              <w:rPr>
                <w:sz w:val="17"/>
              </w:rPr>
            </w:r>
            <w:r>
              <w:rPr>
                <w:b w:val="0"/>
                <w:sz w:val="17"/>
              </w:rPr>
              <w:t>3.82%</w:t>
            </w:r>
          </w:p>
        </w:tc>
        <w:tc>
          <w:tcPr>
            <w:tcW w:type="dxa" w:w="864"/>
          </w:tcPr>
          <w:p>
            <w:r>
              <w:rPr>
                <w:sz w:val="17"/>
              </w:rPr>
            </w:r>
            <w:r>
              <w:rPr>
                <w:b w:val="0"/>
                <w:sz w:val="17"/>
              </w:rPr>
              <w:t>$106</w:t>
            </w:r>
          </w:p>
        </w:tc>
        <w:tc>
          <w:tcPr>
            <w:tcW w:type="dxa" w:w="1008"/>
          </w:tcPr>
          <w:p>
            <w:r>
              <w:rPr>
                <w:sz w:val="17"/>
              </w:rPr>
            </w:r>
            <w:r>
              <w:rPr>
                <w:b w:val="0"/>
                <w:sz w:val="17"/>
              </w:rPr>
              <w:t>-2.34%</w:t>
            </w:r>
          </w:p>
        </w:tc>
        <w:tc>
          <w:tcPr>
            <w:tcW w:type="dxa" w:w="1296"/>
          </w:tcPr>
          <w:p>
            <w:r>
              <w:rPr>
                <w:sz w:val="17"/>
              </w:rPr>
            </w:r>
            <w:r>
              <w:rPr>
                <w:b w:val="0"/>
                <w:sz w:val="17"/>
              </w:rPr>
              <w:t>6.92%</w:t>
            </w:r>
          </w:p>
        </w:tc>
      </w:tr>
    </w:tbl>
    <w:p/>
    <w:p>
      <w:r>
        <w:drawing>
          <wp:inline xmlns:a="http://schemas.openxmlformats.org/drawingml/2006/main" xmlns:pic="http://schemas.openxmlformats.org/drawingml/2006/picture">
            <wp:extent cx="5852160" cy="2867850"/>
            <wp:docPr id="5" name="Picture 5"/>
            <wp:cNvGraphicFramePr>
              <a:graphicFrameLocks noChangeAspect="1"/>
            </wp:cNvGraphicFramePr>
            <a:graphic>
              <a:graphicData uri="http://schemas.openxmlformats.org/drawingml/2006/picture">
                <pic:pic>
                  <pic:nvPicPr>
                    <pic:cNvPr id="0" name="01_direct_vs_hybrid.png"/>
                    <pic:cNvPicPr/>
                  </pic:nvPicPr>
                  <pic:blipFill>
                    <a:blip r:embed="rId13"/>
                    <a:stretch>
                      <a:fillRect/>
                    </a:stretch>
                  </pic:blipFill>
                  <pic:spPr>
                    <a:xfrm>
                      <a:off x="0" y="0"/>
                      <a:ext cx="5852160" cy="2867850"/>
                    </a:xfrm>
                    <a:prstGeom prst="rect"/>
                  </pic:spPr>
                </pic:pic>
              </a:graphicData>
            </a:graphic>
          </wp:inline>
        </w:drawing>
      </w:r>
    </w:p>
    <w:p>
      <w:r>
        <w:rPr>
          <w:i/>
          <w:sz w:val="17"/>
        </w:rPr>
        <w:t>Figure 5. Every algorithm is more accurate on top of the Ridge base than on its own.</w:t>
      </w:r>
    </w:p>
    <w:p>
      <w:r>
        <w:rPr>
          <w:b/>
        </w:rPr>
        <w:t>Why hybrid wins.</w:t>
      </w:r>
      <w:r>
        <w:t xml:space="preserve"> Tree models cannot extrapolate: given a time feature, they predict the same level for every date after their last split, so direct trees under-predict later months (bias -1.1% to -2.9% in folds 1 and 3, all five tree learners). Ridge carries the level forward; the trees learn only patterns that repeat. This is the single largest design decision, worth 0.5–1.0 points of MAPE.</w:t>
      </w:r>
    </w:p>
    <w:p>
      <w:r>
        <w:drawing>
          <wp:inline xmlns:a="http://schemas.openxmlformats.org/drawingml/2006/main" xmlns:pic="http://schemas.openxmlformats.org/drawingml/2006/picture">
            <wp:extent cx="5852160" cy="2294459"/>
            <wp:docPr id="6" name="Picture 6"/>
            <wp:cNvGraphicFramePr>
              <a:graphicFrameLocks noChangeAspect="1"/>
            </wp:cNvGraphicFramePr>
            <a:graphic>
              <a:graphicData uri="http://schemas.openxmlformats.org/drawingml/2006/picture">
                <pic:pic>
                  <pic:nvPicPr>
                    <pic:cNvPr id="0" name="04_ensemble_significance.png"/>
                    <pic:cNvPicPr/>
                  </pic:nvPicPr>
                  <pic:blipFill>
                    <a:blip r:embed="rId14"/>
                    <a:stretch>
                      <a:fillRect/>
                    </a:stretch>
                  </pic:blipFill>
                  <pic:spPr>
                    <a:xfrm>
                      <a:off x="0" y="0"/>
                      <a:ext cx="5852160" cy="2294459"/>
                    </a:xfrm>
                    <a:prstGeom prst="rect"/>
                  </pic:spPr>
                </pic:pic>
              </a:graphicData>
            </a:graphic>
          </wp:inline>
        </w:drawing>
      </w:r>
    </w:p>
    <w:p>
      <w:r>
        <w:rPr>
          <w:i/>
          <w:sz w:val="17"/>
        </w:rPr>
        <w:t>Figure 6. Difference vs Ridge + LightGBM with 95% bootstrap intervals (whole dates resampled).</w:t>
      </w:r>
    </w:p>
    <w:p>
      <w:r>
        <w:rPr>
          <w:b/>
        </w:rPr>
        <w:t>Is the ensemble worth it?</w:t>
      </w:r>
      <w:r>
        <w:t xml:space="preserve"> Averaging LightGBM, XGBoost and Extra Trees residual models improves MAPE by 0.072 points over all folds (95% CI -0.090 to -0.055; better on 73% of dates) and is no worse on the most recent fold (-0.010, CI -0.024 to +0.004). Boosting and randomised bagging make different errors, so averaging cancels some. Single learners are tied with LightGBM or worse on fold 3. A learned stacking ensemble (non-negative weights from earlier folds) was worst of the ensembles: with 2–3 folds the weights over-fit.</w:t>
      </w:r>
    </w:p>
    <w:p>
      <w:r>
        <w:rPr>
          <w:b/>
        </w:rPr>
        <w:t>Selection rule:</w:t>
      </w:r>
      <w:r>
        <w:t xml:space="preserve"> best mean MAPE across folds, unless significantly worse on the most recent fold. The chosen ensemble (1.61%) beats the single-LightGBM version (1.68%); the gain is modest ($2.0 MAE) for ~3× training time. Caveat: picking the best of 21 candidates on the same folds makes the winner's score slightly optimistic; the size of the gaps between tiers is far larger than that effect.</w:t>
      </w:r>
    </w:p>
    <w:p>
      <w:pPr>
        <w:pStyle w:val="Heading1"/>
      </w:pPr>
      <w:r>
        <w:t>5. Results of the chosen model</w:t>
      </w:r>
    </w:p>
    <w:tbl>
      <w:tblPr>
        <w:tblStyle w:val="TableGrid"/>
        <w:tblW w:type="auto" w:w="0"/>
        <w:jc w:val="center"/>
        <w:tblLayout w:type="fixed"/>
        <w:tblLook w:firstColumn="1" w:firstRow="1" w:lastColumn="0" w:lastRow="0" w:noHBand="0" w:noVBand="1" w:val="04A0"/>
        <w:tblLayout w:type="fixed"/>
      </w:tblPr>
      <w:tblGrid>
        <w:gridCol w:w="2160"/>
        <w:gridCol w:w="1152"/>
        <w:gridCol w:w="1007"/>
        <w:gridCol w:w="1007"/>
        <w:gridCol w:w="1007"/>
        <w:gridCol w:w="1007"/>
        <w:gridCol w:w="1440"/>
      </w:tblGrid>
      <w:tr>
        <w:tc>
          <w:tcPr>
            <w:tcW w:type="dxa" w:w="2160"/>
            <w:shd w:val="clear" w:color="auto" w:fill="064A56"/>
          </w:tcPr>
          <w:p>
            <w:r>
              <w:rPr>
                <w:sz w:val="17"/>
              </w:rPr>
            </w:r>
            <w:r>
              <w:rPr>
                <w:b/>
                <w:color w:val="FFFFFF"/>
                <w:sz w:val="17"/>
              </w:rPr>
              <w:t>Evaluation window</w:t>
            </w:r>
          </w:p>
        </w:tc>
        <w:tc>
          <w:tcPr>
            <w:tcW w:type="dxa" w:w="1152"/>
            <w:shd w:val="clear" w:color="auto" w:fill="064A56"/>
          </w:tcPr>
          <w:p>
            <w:r>
              <w:rPr>
                <w:sz w:val="17"/>
              </w:rPr>
            </w:r>
            <w:r>
              <w:rPr>
                <w:b/>
                <w:color w:val="FFFFFF"/>
                <w:sz w:val="17"/>
              </w:rPr>
              <w:t>n (clean)</w:t>
            </w:r>
          </w:p>
        </w:tc>
        <w:tc>
          <w:tcPr>
            <w:tcW w:type="dxa" w:w="1008"/>
            <w:shd w:val="clear" w:color="auto" w:fill="064A56"/>
          </w:tcPr>
          <w:p>
            <w:r>
              <w:rPr>
                <w:sz w:val="17"/>
              </w:rPr>
            </w:r>
            <w:r>
              <w:rPr>
                <w:b/>
                <w:color w:val="FFFFFF"/>
                <w:sz w:val="17"/>
              </w:rPr>
              <w:t>MAE</w:t>
            </w:r>
          </w:p>
        </w:tc>
        <w:tc>
          <w:tcPr>
            <w:tcW w:type="dxa" w:w="1008"/>
            <w:shd w:val="clear" w:color="auto" w:fill="064A56"/>
          </w:tcPr>
          <w:p>
            <w:r>
              <w:rPr>
                <w:sz w:val="17"/>
              </w:rPr>
            </w:r>
            <w:r>
              <w:rPr>
                <w:b/>
                <w:color w:val="FFFFFF"/>
                <w:sz w:val="17"/>
              </w:rPr>
              <w:t>RMSE</w:t>
            </w:r>
          </w:p>
        </w:tc>
        <w:tc>
          <w:tcPr>
            <w:tcW w:type="dxa" w:w="1008"/>
            <w:shd w:val="clear" w:color="auto" w:fill="064A56"/>
          </w:tcPr>
          <w:p>
            <w:r>
              <w:rPr>
                <w:sz w:val="17"/>
              </w:rPr>
            </w:r>
            <w:r>
              <w:rPr>
                <w:b/>
                <w:color w:val="FFFFFF"/>
                <w:sz w:val="17"/>
              </w:rPr>
              <w:t>MAPE</w:t>
            </w:r>
          </w:p>
        </w:tc>
        <w:tc>
          <w:tcPr>
            <w:tcW w:type="dxa" w:w="1008"/>
            <w:shd w:val="clear" w:color="auto" w:fill="064A56"/>
          </w:tcPr>
          <w:p>
            <w:r>
              <w:rPr>
                <w:sz w:val="17"/>
              </w:rPr>
            </w:r>
            <w:r>
              <w:rPr>
                <w:b/>
                <w:color w:val="FFFFFF"/>
                <w:sz w:val="17"/>
              </w:rPr>
              <w:t>Bias</w:t>
            </w:r>
          </w:p>
        </w:tc>
        <w:tc>
          <w:tcPr>
            <w:tcW w:type="dxa" w:w="1440"/>
            <w:shd w:val="clear" w:color="auto" w:fill="064A56"/>
          </w:tcPr>
          <w:p>
            <w:r>
              <w:rPr>
                <w:sz w:val="17"/>
              </w:rPr>
            </w:r>
            <w:r>
              <w:rPr>
                <w:b/>
                <w:color w:val="FFFFFF"/>
                <w:sz w:val="17"/>
              </w:rPr>
              <w:t>MAPE all labels</w:t>
            </w:r>
          </w:p>
        </w:tc>
      </w:tr>
      <w:tr>
        <w:tc>
          <w:tcPr>
            <w:tcW w:type="dxa" w:w="2160"/>
          </w:tcPr>
          <w:p>
            <w:r>
              <w:rPr>
                <w:sz w:val="17"/>
              </w:rPr>
            </w:r>
            <w:r>
              <w:rPr>
                <w:b w:val="0"/>
                <w:sz w:val="17"/>
              </w:rPr>
              <w:t>Fold 1: May-Jun</w:t>
            </w:r>
          </w:p>
        </w:tc>
        <w:tc>
          <w:tcPr>
            <w:tcW w:type="dxa" w:w="1152"/>
          </w:tcPr>
          <w:p>
            <w:r>
              <w:rPr>
                <w:sz w:val="17"/>
              </w:rPr>
            </w:r>
            <w:r>
              <w:rPr>
                <w:b w:val="0"/>
                <w:sz w:val="17"/>
              </w:rPr>
              <w:t>9,571</w:t>
            </w:r>
          </w:p>
        </w:tc>
        <w:tc>
          <w:tcPr>
            <w:tcW w:type="dxa" w:w="1008"/>
          </w:tcPr>
          <w:p>
            <w:r>
              <w:rPr>
                <w:sz w:val="17"/>
              </w:rPr>
            </w:r>
            <w:r>
              <w:rPr>
                <w:b w:val="0"/>
                <w:sz w:val="17"/>
              </w:rPr>
              <w:t>$33.8</w:t>
            </w:r>
          </w:p>
        </w:tc>
        <w:tc>
          <w:tcPr>
            <w:tcW w:type="dxa" w:w="1008"/>
          </w:tcPr>
          <w:p>
            <w:r>
              <w:rPr>
                <w:sz w:val="17"/>
              </w:rPr>
            </w:r>
            <w:r>
              <w:rPr>
                <w:b w:val="0"/>
                <w:sz w:val="17"/>
              </w:rPr>
              <w:t>$49.5</w:t>
            </w:r>
          </w:p>
        </w:tc>
        <w:tc>
          <w:tcPr>
            <w:tcW w:type="dxa" w:w="1008"/>
          </w:tcPr>
          <w:p>
            <w:r>
              <w:rPr>
                <w:sz w:val="17"/>
              </w:rPr>
            </w:r>
            <w:r>
              <w:rPr>
                <w:b w:val="0"/>
                <w:sz w:val="17"/>
              </w:rPr>
              <w:t>1.39%</w:t>
            </w:r>
          </w:p>
        </w:tc>
        <w:tc>
          <w:tcPr>
            <w:tcW w:type="dxa" w:w="1008"/>
          </w:tcPr>
          <w:p>
            <w:r>
              <w:rPr>
                <w:sz w:val="17"/>
              </w:rPr>
            </w:r>
            <w:r>
              <w:rPr>
                <w:b w:val="0"/>
                <w:sz w:val="17"/>
              </w:rPr>
              <w:t>-0.02%</w:t>
            </w:r>
          </w:p>
        </w:tc>
        <w:tc>
          <w:tcPr>
            <w:tcW w:type="dxa" w:w="1440"/>
          </w:tcPr>
          <w:p>
            <w:r>
              <w:rPr>
                <w:sz w:val="17"/>
              </w:rPr>
            </w:r>
            <w:r>
              <w:rPr>
                <w:b w:val="0"/>
                <w:sz w:val="17"/>
              </w:rPr>
              <w:t>3.68%</w:t>
            </w:r>
          </w:p>
        </w:tc>
      </w:tr>
      <w:tr>
        <w:tc>
          <w:tcPr>
            <w:tcW w:type="dxa" w:w="2160"/>
          </w:tcPr>
          <w:p>
            <w:r>
              <w:rPr>
                <w:sz w:val="17"/>
              </w:rPr>
            </w:r>
            <w:r>
              <w:rPr>
                <w:b w:val="0"/>
                <w:sz w:val="17"/>
              </w:rPr>
              <w:t>Fold 2: Jul-Aug</w:t>
            </w:r>
          </w:p>
        </w:tc>
        <w:tc>
          <w:tcPr>
            <w:tcW w:type="dxa" w:w="1152"/>
          </w:tcPr>
          <w:p>
            <w:r>
              <w:rPr>
                <w:sz w:val="17"/>
              </w:rPr>
            </w:r>
            <w:r>
              <w:rPr>
                <w:b w:val="0"/>
                <w:sz w:val="17"/>
              </w:rPr>
              <w:t>9,538</w:t>
            </w:r>
          </w:p>
        </w:tc>
        <w:tc>
          <w:tcPr>
            <w:tcW w:type="dxa" w:w="1008"/>
          </w:tcPr>
          <w:p>
            <w:r>
              <w:rPr>
                <w:sz w:val="17"/>
              </w:rPr>
            </w:r>
            <w:r>
              <w:rPr>
                <w:b w:val="0"/>
                <w:sz w:val="17"/>
              </w:rPr>
              <w:t>$50.8</w:t>
            </w:r>
          </w:p>
        </w:tc>
        <w:tc>
          <w:tcPr>
            <w:tcW w:type="dxa" w:w="1008"/>
          </w:tcPr>
          <w:p>
            <w:r>
              <w:rPr>
                <w:sz w:val="17"/>
              </w:rPr>
            </w:r>
            <w:r>
              <w:rPr>
                <w:b w:val="0"/>
                <w:sz w:val="17"/>
              </w:rPr>
              <w:t>$76.1</w:t>
            </w:r>
          </w:p>
        </w:tc>
        <w:tc>
          <w:tcPr>
            <w:tcW w:type="dxa" w:w="1008"/>
          </w:tcPr>
          <w:p>
            <w:r>
              <w:rPr>
                <w:sz w:val="17"/>
              </w:rPr>
            </w:r>
            <w:r>
              <w:rPr>
                <w:b w:val="0"/>
                <w:sz w:val="17"/>
              </w:rPr>
              <w:t>2.04%</w:t>
            </w:r>
          </w:p>
        </w:tc>
        <w:tc>
          <w:tcPr>
            <w:tcW w:type="dxa" w:w="1008"/>
          </w:tcPr>
          <w:p>
            <w:r>
              <w:rPr>
                <w:sz w:val="17"/>
              </w:rPr>
            </w:r>
            <w:r>
              <w:rPr>
                <w:b w:val="0"/>
                <w:sz w:val="17"/>
              </w:rPr>
              <w:t>+1.50%</w:t>
            </w:r>
          </w:p>
        </w:tc>
        <w:tc>
          <w:tcPr>
            <w:tcW w:type="dxa" w:w="1440"/>
          </w:tcPr>
          <w:p>
            <w:r>
              <w:rPr>
                <w:sz w:val="17"/>
              </w:rPr>
            </w:r>
            <w:r>
              <w:rPr>
                <w:b w:val="0"/>
                <w:sz w:val="17"/>
              </w:rPr>
              <w:t>4.34%</w:t>
            </w:r>
          </w:p>
        </w:tc>
      </w:tr>
      <w:tr>
        <w:tc>
          <w:tcPr>
            <w:tcW w:type="dxa" w:w="2160"/>
          </w:tcPr>
          <w:p>
            <w:r>
              <w:rPr>
                <w:sz w:val="17"/>
              </w:rPr>
            </w:r>
            <w:r>
              <w:rPr>
                <w:b w:val="0"/>
                <w:sz w:val="17"/>
              </w:rPr>
              <w:t>Fold 3: Sep-Oct</w:t>
            </w:r>
          </w:p>
        </w:tc>
        <w:tc>
          <w:tcPr>
            <w:tcW w:type="dxa" w:w="1152"/>
          </w:tcPr>
          <w:p>
            <w:r>
              <w:rPr>
                <w:sz w:val="17"/>
              </w:rPr>
            </w:r>
            <w:r>
              <w:rPr>
                <w:b w:val="0"/>
                <w:sz w:val="17"/>
              </w:rPr>
              <w:t>9,379</w:t>
            </w:r>
          </w:p>
        </w:tc>
        <w:tc>
          <w:tcPr>
            <w:tcW w:type="dxa" w:w="1008"/>
          </w:tcPr>
          <w:p>
            <w:r>
              <w:rPr>
                <w:sz w:val="17"/>
              </w:rPr>
            </w:r>
            <w:r>
              <w:rPr>
                <w:b w:val="0"/>
                <w:sz w:val="17"/>
              </w:rPr>
              <w:t>$32.0</w:t>
            </w:r>
          </w:p>
        </w:tc>
        <w:tc>
          <w:tcPr>
            <w:tcW w:type="dxa" w:w="1008"/>
          </w:tcPr>
          <w:p>
            <w:r>
              <w:rPr>
                <w:sz w:val="17"/>
              </w:rPr>
            </w:r>
            <w:r>
              <w:rPr>
                <w:b w:val="0"/>
                <w:sz w:val="17"/>
              </w:rPr>
              <w:t>$46.0</w:t>
            </w:r>
          </w:p>
        </w:tc>
        <w:tc>
          <w:tcPr>
            <w:tcW w:type="dxa" w:w="1008"/>
          </w:tcPr>
          <w:p>
            <w:r>
              <w:rPr>
                <w:sz w:val="17"/>
              </w:rPr>
            </w:r>
            <w:r>
              <w:rPr>
                <w:b w:val="0"/>
                <w:sz w:val="17"/>
              </w:rPr>
              <w:t>1.39%</w:t>
            </w:r>
          </w:p>
        </w:tc>
        <w:tc>
          <w:tcPr>
            <w:tcW w:type="dxa" w:w="1008"/>
          </w:tcPr>
          <w:p>
            <w:r>
              <w:rPr>
                <w:sz w:val="17"/>
              </w:rPr>
            </w:r>
            <w:r>
              <w:rPr>
                <w:b w:val="0"/>
                <w:sz w:val="17"/>
              </w:rPr>
              <w:t>-0.48%</w:t>
            </w:r>
          </w:p>
        </w:tc>
        <w:tc>
          <w:tcPr>
            <w:tcW w:type="dxa" w:w="1440"/>
          </w:tcPr>
          <w:p>
            <w:r>
              <w:rPr>
                <w:sz w:val="17"/>
              </w:rPr>
            </w:r>
            <w:r>
              <w:rPr>
                <w:b w:val="0"/>
                <w:sz w:val="17"/>
              </w:rPr>
              <w:t>3.92%</w:t>
            </w:r>
          </w:p>
        </w:tc>
      </w:tr>
      <w:tr>
        <w:tc>
          <w:tcPr>
            <w:tcW w:type="dxa" w:w="2160"/>
          </w:tcPr>
          <w:p>
            <w:r>
              <w:rPr>
                <w:sz w:val="17"/>
              </w:rPr>
            </w:r>
            <w:r>
              <w:rPr>
                <w:b/>
                <w:sz w:val="17"/>
              </w:rPr>
              <w:t>Mean of folds</w:t>
            </w:r>
          </w:p>
        </w:tc>
        <w:tc>
          <w:tcPr>
            <w:tcW w:type="dxa" w:w="1152"/>
          </w:tcPr>
          <w:p>
            <w:r>
              <w:rPr>
                <w:sz w:val="17"/>
              </w:rPr>
            </w:r>
            <w:r>
              <w:rPr>
                <w:b/>
                <w:sz w:val="17"/>
              </w:rPr>
              <w:t>28,488</w:t>
            </w:r>
          </w:p>
        </w:tc>
        <w:tc>
          <w:tcPr>
            <w:tcW w:type="dxa" w:w="1008"/>
          </w:tcPr>
          <w:p>
            <w:r>
              <w:rPr>
                <w:sz w:val="17"/>
              </w:rPr>
            </w:r>
            <w:r>
              <w:rPr>
                <w:b/>
                <w:sz w:val="17"/>
              </w:rPr>
              <w:t>$38.9</w:t>
            </w:r>
          </w:p>
        </w:tc>
        <w:tc>
          <w:tcPr>
            <w:tcW w:type="dxa" w:w="1008"/>
          </w:tcPr>
          <w:p>
            <w:r>
              <w:rPr>
                <w:sz w:val="17"/>
              </w:rPr>
            </w:r>
            <w:r>
              <w:rPr>
                <w:b/>
                <w:sz w:val="17"/>
              </w:rPr>
              <w:t>$57.2</w:t>
            </w:r>
          </w:p>
        </w:tc>
        <w:tc>
          <w:tcPr>
            <w:tcW w:type="dxa" w:w="1008"/>
          </w:tcPr>
          <w:p>
            <w:r>
              <w:rPr>
                <w:sz w:val="17"/>
              </w:rPr>
            </w:r>
            <w:r>
              <w:rPr>
                <w:b/>
                <w:sz w:val="17"/>
              </w:rPr>
              <w:t>1.61%</w:t>
            </w:r>
          </w:p>
        </w:tc>
        <w:tc>
          <w:tcPr>
            <w:tcW w:type="dxa" w:w="1008"/>
          </w:tcPr>
          <w:p>
            <w:r>
              <w:rPr>
                <w:sz w:val="17"/>
              </w:rPr>
            </w:r>
            <w:r>
              <w:rPr>
                <w:b/>
                <w:sz w:val="17"/>
              </w:rPr>
              <w:t>+0.33%</w:t>
            </w:r>
          </w:p>
        </w:tc>
        <w:tc>
          <w:tcPr>
            <w:tcW w:type="dxa" w:w="1440"/>
          </w:tcPr>
          <w:p>
            <w:r>
              <w:rPr>
                <w:sz w:val="17"/>
              </w:rPr>
            </w:r>
            <w:r>
              <w:rPr>
                <w:b/>
                <w:sz w:val="17"/>
              </w:rPr>
              <w:t>3.98%</w:t>
            </w:r>
          </w:p>
        </w:tc>
      </w:tr>
    </w:tbl>
    <w:p/>
    <w:p>
      <w:r>
        <w:t>Fold 2 is weakest: trained on Jan–Jun only, the fitted trend was too steep (10.8%/yr vs 7.6%/yr with all data), so Jul–Aug was over-predicted by 1.5%. Errors also grow within each 2-month window (about 1.3% MAPE in the first two weeks to 1.8% in the last two), so late-December predictions are expected to be less accurate than early-November ones.</w:t>
      </w:r>
    </w:p>
    <w:p>
      <w:r>
        <w:drawing>
          <wp:inline xmlns:a="http://schemas.openxmlformats.org/drawingml/2006/main" xmlns:pic="http://schemas.openxmlformats.org/drawingml/2006/picture">
            <wp:extent cx="5669280" cy="1976678"/>
            <wp:docPr id="7" name="Picture 7"/>
            <wp:cNvGraphicFramePr>
              <a:graphicFrameLocks noChangeAspect="1"/>
            </wp:cNvGraphicFramePr>
            <a:graphic>
              <a:graphicData uri="http://schemas.openxmlformats.org/drawingml/2006/picture">
                <pic:pic>
                  <pic:nvPicPr>
                    <pic:cNvPr id="0" name="04_error_over_time.png"/>
                    <pic:cNvPicPr/>
                  </pic:nvPicPr>
                  <pic:blipFill>
                    <a:blip r:embed="rId15"/>
                    <a:stretch>
                      <a:fillRect/>
                    </a:stretch>
                  </pic:blipFill>
                  <pic:spPr>
                    <a:xfrm>
                      <a:off x="0" y="0"/>
                      <a:ext cx="5669280" cy="1976678"/>
                    </a:xfrm>
                    <a:prstGeom prst="rect"/>
                  </pic:spPr>
                </pic:pic>
              </a:graphicData>
            </a:graphic>
          </wp:inline>
        </w:drawing>
      </w:r>
    </w:p>
    <w:p>
      <w:r>
        <w:rPr>
          <w:i/>
          <w:sz w:val="17"/>
        </w:rPr>
        <w:t>Figure 7. Out-of-fold error over time.</w:t>
      </w:r>
    </w:p>
    <w:p>
      <w:pPr>
        <w:pStyle w:val="Heading1"/>
      </w:pPr>
      <w:r>
        <w:t>6. Robustness checks</w:t>
      </w:r>
    </w:p>
    <w:tbl>
      <w:tblPr>
        <w:tblStyle w:val="TableGrid"/>
        <w:tblW w:type="auto" w:w="0"/>
        <w:jc w:val="center"/>
        <w:tblLayout w:type="fixed"/>
        <w:tblLook w:firstColumn="1" w:firstRow="1" w:lastColumn="0" w:lastRow="0" w:noHBand="0" w:noVBand="1" w:val="04A0"/>
        <w:tblLayout w:type="fixed"/>
      </w:tblPr>
      <w:tblGrid>
        <w:gridCol w:w="2160"/>
        <w:gridCol w:w="2592"/>
        <w:gridCol w:w="2880"/>
        <w:gridCol w:w="2160"/>
      </w:tblGrid>
      <w:tr>
        <w:tc>
          <w:tcPr>
            <w:tcW w:type="dxa" w:w="2160"/>
            <w:shd w:val="clear" w:color="auto" w:fill="064A56"/>
          </w:tcPr>
          <w:p>
            <w:r>
              <w:rPr>
                <w:sz w:val="17"/>
              </w:rPr>
            </w:r>
            <w:r>
              <w:rPr>
                <w:b/>
                <w:color w:val="FFFFFF"/>
                <w:sz w:val="17"/>
              </w:rPr>
              <w:t>Question</w:t>
            </w:r>
          </w:p>
        </w:tc>
        <w:tc>
          <w:tcPr>
            <w:tcW w:type="dxa" w:w="2592"/>
            <w:shd w:val="clear" w:color="auto" w:fill="064A56"/>
          </w:tcPr>
          <w:p>
            <w:r>
              <w:rPr>
                <w:sz w:val="17"/>
              </w:rPr>
            </w:r>
            <w:r>
              <w:rPr>
                <w:b/>
                <w:color w:val="FFFFFF"/>
                <w:sz w:val="17"/>
              </w:rPr>
              <w:t>Check</w:t>
            </w:r>
          </w:p>
        </w:tc>
        <w:tc>
          <w:tcPr>
            <w:tcW w:type="dxa" w:w="2880"/>
            <w:shd w:val="clear" w:color="auto" w:fill="064A56"/>
          </w:tcPr>
          <w:p>
            <w:r>
              <w:rPr>
                <w:sz w:val="17"/>
              </w:rPr>
            </w:r>
            <w:r>
              <w:rPr>
                <w:b/>
                <w:color w:val="FFFFFF"/>
                <w:sz w:val="17"/>
              </w:rPr>
              <w:t>Result</w:t>
            </w:r>
          </w:p>
        </w:tc>
        <w:tc>
          <w:tcPr>
            <w:tcW w:type="dxa" w:w="2160"/>
            <w:shd w:val="clear" w:color="auto" w:fill="064A56"/>
          </w:tcPr>
          <w:p>
            <w:r>
              <w:rPr>
                <w:sz w:val="17"/>
              </w:rPr>
            </w:r>
            <w:r>
              <w:rPr>
                <w:b/>
                <w:color w:val="FFFFFF"/>
                <w:sz w:val="17"/>
              </w:rPr>
              <w:t>Verdict</w:t>
            </w:r>
          </w:p>
        </w:tc>
      </w:tr>
      <w:tr>
        <w:tc>
          <w:tcPr>
            <w:tcW w:type="dxa" w:w="2160"/>
          </w:tcPr>
          <w:p>
            <w:r>
              <w:rPr>
                <w:sz w:val="17"/>
              </w:rPr>
            </w:r>
            <w:r>
              <w:rPr>
                <w:b w:val="0"/>
                <w:sz w:val="17"/>
              </w:rPr>
              <w:t>Is stage 2 trained on optimistic (leaky) residuals?</w:t>
            </w:r>
          </w:p>
        </w:tc>
        <w:tc>
          <w:tcPr>
            <w:tcW w:type="dxa" w:w="2592"/>
          </w:tcPr>
          <w:p>
            <w:r>
              <w:rPr>
                <w:sz w:val="17"/>
              </w:rPr>
            </w:r>
            <w:r>
              <w:rPr>
                <w:b w:val="0"/>
                <w:sz w:val="17"/>
              </w:rPr>
              <w:t>Train the tree stage on random 5-fold out-of-fold Ridge residuals instead</w:t>
            </w:r>
          </w:p>
        </w:tc>
        <w:tc>
          <w:tcPr>
            <w:tcW w:type="dxa" w:w="2880"/>
          </w:tcPr>
          <w:p>
            <w:r>
              <w:rPr>
                <w:sz w:val="17"/>
              </w:rPr>
            </w:r>
            <w:r>
              <w:rPr>
                <w:b w:val="0"/>
                <w:sz w:val="17"/>
              </w:rPr>
              <w:t>Residual correlation 0.99997; fold MAPE changes ≤ 0.003 pt</w:t>
            </w:r>
          </w:p>
        </w:tc>
        <w:tc>
          <w:tcPr>
            <w:tcW w:type="dxa" w:w="2160"/>
          </w:tcPr>
          <w:p>
            <w:r>
              <w:rPr>
                <w:sz w:val="17"/>
              </w:rPr>
            </w:r>
            <w:r>
              <w:rPr>
                <w:b w:val="0"/>
                <w:sz w:val="17"/>
              </w:rPr>
              <w:t>No issue; 8 coefficients on 15k–47k rows cannot memorise</w:t>
            </w:r>
          </w:p>
        </w:tc>
      </w:tr>
      <w:tr>
        <w:tc>
          <w:tcPr>
            <w:tcW w:type="dxa" w:w="2160"/>
          </w:tcPr>
          <w:p>
            <w:r>
              <w:rPr>
                <w:sz w:val="17"/>
              </w:rPr>
            </w:r>
            <w:r>
              <w:rPr>
                <w:b w:val="0"/>
                <w:sz w:val="17"/>
              </w:rPr>
              <w:t>How much does the trend assumption matter?</w:t>
            </w:r>
          </w:p>
        </w:tc>
        <w:tc>
          <w:tcPr>
            <w:tcW w:type="dxa" w:w="2592"/>
          </w:tcPr>
          <w:p>
            <w:r>
              <w:rPr>
                <w:sz w:val="17"/>
              </w:rPr>
            </w:r>
            <w:r>
              <w:rPr>
                <w:b w:val="0"/>
                <w:sz w:val="17"/>
              </w:rPr>
              <w:t>Continue the trend at k × slope after training end (k = 0…1.5); remove it entirely</w:t>
            </w:r>
          </w:p>
        </w:tc>
        <w:tc>
          <w:tcPr>
            <w:tcW w:type="dxa" w:w="2880"/>
          </w:tcPr>
          <w:p>
            <w:r>
              <w:rPr>
                <w:sz w:val="17"/>
              </w:rPr>
            </w:r>
            <w:r>
              <w:rPr>
                <w:b w:val="0"/>
                <w:sz w:val="17"/>
              </w:rPr>
              <w:t>No trend term: 2.64%. k = 0…1.5: 1.57–1.72%; helps fold 3, hurts fold 2</w:t>
            </w:r>
          </w:p>
        </w:tc>
        <w:tc>
          <w:tcPr>
            <w:tcW w:type="dxa" w:w="2160"/>
          </w:tcPr>
          <w:p>
            <w:r>
              <w:rPr>
                <w:sz w:val="17"/>
              </w:rPr>
            </w:r>
            <w:r>
              <w:rPr>
                <w:b w:val="0"/>
                <w:sz w:val="17"/>
              </w:rPr>
              <w:t>Trend term essential (sets the current level); extrapolation k = 1 kept, not tuned</w:t>
            </w:r>
          </w:p>
        </w:tc>
      </w:tr>
      <w:tr>
        <w:tc>
          <w:tcPr>
            <w:tcW w:type="dxa" w:w="2160"/>
          </w:tcPr>
          <w:p>
            <w:r>
              <w:rPr>
                <w:sz w:val="17"/>
              </w:rPr>
            </w:r>
            <w:r>
              <w:rPr>
                <w:b w:val="0"/>
                <w:sz w:val="17"/>
              </w:rPr>
              <w:t>What does the 0.97 R² mean? Does it carry forward?</w:t>
            </w:r>
          </w:p>
        </w:tc>
        <w:tc>
          <w:tcPr>
            <w:tcW w:type="dxa" w:w="2592"/>
          </w:tcPr>
          <w:p>
            <w:r>
              <w:rPr>
                <w:sz w:val="17"/>
              </w:rPr>
            </w:r>
            <w:r>
              <w:rPr>
                <w:b w:val="0"/>
                <w:sz w:val="17"/>
              </w:rPr>
              <w:t>Per-date effects → 3-term regression; refit on Jan–Aug, predict Sep–Oct</w:t>
            </w:r>
          </w:p>
        </w:tc>
        <w:tc>
          <w:tcPr>
            <w:tcW w:type="dxa" w:w="2880"/>
          </w:tcPr>
          <w:p>
            <w:r>
              <w:rPr>
                <w:sz w:val="17"/>
              </w:rPr>
            </w:r>
            <w:r>
              <w:rPr>
                <w:b w:val="0"/>
                <w:sz w:val="17"/>
              </w:rPr>
              <w:t>In-sample R² 0.97. Out of sample: 0.98% RMSE vs 2.16% naive</w:t>
            </w:r>
          </w:p>
        </w:tc>
        <w:tc>
          <w:tcPr>
            <w:tcW w:type="dxa" w:w="2160"/>
          </w:tcPr>
          <w:p>
            <w:r>
              <w:rPr>
                <w:sz w:val="17"/>
              </w:rPr>
            </w:r>
            <w:r>
              <w:rPr>
                <w:b w:val="0"/>
                <w:sz w:val="17"/>
              </w:rPr>
              <w:t>0.97 is descriptive (in-sample); structure does carry 2 months forward</w:t>
            </w:r>
          </w:p>
        </w:tc>
      </w:tr>
      <w:tr>
        <w:tc>
          <w:tcPr>
            <w:tcW w:type="dxa" w:w="2160"/>
          </w:tcPr>
          <w:p>
            <w:r>
              <w:rPr>
                <w:sz w:val="17"/>
              </w:rPr>
            </w:r>
            <w:r>
              <w:rPr>
                <w:b w:val="0"/>
                <w:sz w:val="17"/>
              </w:rPr>
              <w:t>Can it price cities it has never seen?</w:t>
            </w:r>
          </w:p>
        </w:tc>
        <w:tc>
          <w:tcPr>
            <w:tcW w:type="dxa" w:w="2592"/>
          </w:tcPr>
          <w:p>
            <w:r>
              <w:rPr>
                <w:sz w:val="17"/>
              </w:rPr>
            </w:r>
            <w:r>
              <w:rPr>
                <w:b w:val="0"/>
                <w:sz w:val="17"/>
              </w:rPr>
              <w:t>5 draws: remove all loads touching 8 random cities from fold-3 training</w:t>
            </w:r>
          </w:p>
        </w:tc>
        <w:tc>
          <w:tcPr>
            <w:tcW w:type="dxa" w:w="2880"/>
          </w:tcPr>
          <w:p>
            <w:r>
              <w:rPr>
                <w:sz w:val="17"/>
              </w:rPr>
            </w:r>
            <w:r>
              <w:rPr>
                <w:b w:val="0"/>
                <w:sz w:val="17"/>
              </w:rPr>
              <w:t>MAPE +0.13 pt on average (1.46–1.53%)</w:t>
            </w:r>
          </w:p>
        </w:tc>
        <w:tc>
          <w:tcPr>
            <w:tcW w:type="dxa" w:w="2160"/>
          </w:tcPr>
          <w:p>
            <w:r>
              <w:rPr>
                <w:sz w:val="17"/>
              </w:rPr>
            </w:r>
            <w:r>
              <w:rPr>
                <w:b w:val="0"/>
                <w:sz w:val="17"/>
              </w:rPr>
              <w:t>Small cost; evidence (not proof) for the 8 real unseen cities</w:t>
            </w:r>
          </w:p>
        </w:tc>
      </w:tr>
      <w:tr>
        <w:tc>
          <w:tcPr>
            <w:tcW w:type="dxa" w:w="2160"/>
          </w:tcPr>
          <w:p>
            <w:r>
              <w:rPr>
                <w:sz w:val="17"/>
              </w:rPr>
            </w:r>
            <w:r>
              <w:rPr>
                <w:b w:val="0"/>
                <w:sz w:val="17"/>
              </w:rPr>
              <w:t>Does removing anomalous labels help?</w:t>
            </w:r>
          </w:p>
        </w:tc>
        <w:tc>
          <w:tcPr>
            <w:tcW w:type="dxa" w:w="2592"/>
          </w:tcPr>
          <w:p>
            <w:r>
              <w:rPr>
                <w:sz w:val="17"/>
              </w:rPr>
            </w:r>
            <w:r>
              <w:rPr>
                <w:b w:val="0"/>
                <w:sz w:val="17"/>
              </w:rPr>
              <w:t>Train with vs without them</w:t>
            </w:r>
          </w:p>
        </w:tc>
        <w:tc>
          <w:tcPr>
            <w:tcW w:type="dxa" w:w="2880"/>
          </w:tcPr>
          <w:p>
            <w:r>
              <w:rPr>
                <w:sz w:val="17"/>
              </w:rPr>
            </w:r>
            <w:r>
              <w:rPr>
                <w:b w:val="0"/>
                <w:sz w:val="17"/>
              </w:rPr>
              <w:t>Clean: 2.54% → 1.61%; all: 4.91% → 3.98%</w:t>
            </w:r>
          </w:p>
        </w:tc>
        <w:tc>
          <w:tcPr>
            <w:tcW w:type="dxa" w:w="2160"/>
          </w:tcPr>
          <w:p>
            <w:r>
              <w:rPr>
                <w:sz w:val="17"/>
              </w:rPr>
            </w:r>
            <w:r>
              <w:rPr>
                <w:b w:val="0"/>
                <w:sz w:val="17"/>
              </w:rPr>
              <w:t>Remove</w:t>
            </w:r>
          </w:p>
        </w:tc>
      </w:tr>
      <w:tr>
        <w:tc>
          <w:tcPr>
            <w:tcW w:type="dxa" w:w="2160"/>
          </w:tcPr>
          <w:p>
            <w:r>
              <w:rPr>
                <w:sz w:val="17"/>
              </w:rPr>
            </w:r>
            <w:r>
              <w:rPr>
                <w:b w:val="0"/>
                <w:sz w:val="17"/>
              </w:rPr>
              <w:t>Does December depend on validation market data?</w:t>
            </w:r>
          </w:p>
        </w:tc>
        <w:tc>
          <w:tcPr>
            <w:tcW w:type="dxa" w:w="2592"/>
          </w:tcPr>
          <w:p>
            <w:r>
              <w:rPr>
                <w:sz w:val="17"/>
              </w:rPr>
            </w:r>
            <w:r>
              <w:rPr>
                <w:b w:val="0"/>
                <w:sz w:val="17"/>
              </w:rPr>
              <w:t>Price the December lane with training-only market inputs</w:t>
            </w:r>
          </w:p>
        </w:tc>
        <w:tc>
          <w:tcPr>
            <w:tcW w:type="dxa" w:w="2880"/>
          </w:tcPr>
          <w:p>
            <w:r>
              <w:rPr>
                <w:sz w:val="17"/>
              </w:rPr>
            </w:r>
            <w:r>
              <w:rPr>
                <w:b w:val="0"/>
                <w:sz w:val="17"/>
              </w:rPr>
              <w:t>Mean $843 (submitted) vs $843 (training-only)</w:t>
            </w:r>
          </w:p>
        </w:tc>
        <w:tc>
          <w:tcPr>
            <w:tcW w:type="dxa" w:w="2160"/>
          </w:tcPr>
          <w:p>
            <w:r>
              <w:rPr>
                <w:sz w:val="17"/>
              </w:rPr>
            </w:r>
            <w:r>
              <w:rPr>
                <w:b w:val="0"/>
                <w:sz w:val="17"/>
              </w:rPr>
              <w:t>Barely; see section 7</w:t>
            </w:r>
          </w:p>
        </w:tc>
      </w:tr>
    </w:tbl>
    <w:p/>
    <w:p>
      <w:r>
        <w:drawing>
          <wp:inline xmlns:a="http://schemas.openxmlformats.org/drawingml/2006/main" xmlns:pic="http://schemas.openxmlformats.org/drawingml/2006/picture">
            <wp:extent cx="5852160" cy="2748348"/>
            <wp:docPr id="8" name="Picture 8"/>
            <wp:cNvGraphicFramePr>
              <a:graphicFrameLocks noChangeAspect="1"/>
            </wp:cNvGraphicFramePr>
            <a:graphic>
              <a:graphicData uri="http://schemas.openxmlformats.org/drawingml/2006/picture">
                <pic:pic>
                  <pic:nvPicPr>
                    <pic:cNvPr id="0" name="02_trend.png"/>
                    <pic:cNvPicPr/>
                  </pic:nvPicPr>
                  <pic:blipFill>
                    <a:blip r:embed="rId16"/>
                    <a:stretch>
                      <a:fillRect/>
                    </a:stretch>
                  </pic:blipFill>
                  <pic:spPr>
                    <a:xfrm>
                      <a:off x="0" y="0"/>
                      <a:ext cx="5852160" cy="2748348"/>
                    </a:xfrm>
                    <a:prstGeom prst="rect"/>
                  </pic:spPr>
                </pic:pic>
              </a:graphicData>
            </a:graphic>
          </wp:inline>
        </w:drawing>
      </w:r>
    </w:p>
    <w:p>
      <w:r>
        <w:rPr>
          <w:i/>
          <w:sz w:val="17"/>
        </w:rPr>
        <w:t>Figure 8. Trend sensitivity (left) and fitted drift by training window (right).</w:t>
      </w:r>
    </w:p>
    <w:p>
      <w:r>
        <w:drawing>
          <wp:inline xmlns:a="http://schemas.openxmlformats.org/drawingml/2006/main" xmlns:pic="http://schemas.openxmlformats.org/drawingml/2006/picture">
            <wp:extent cx="5852160" cy="2029295"/>
            <wp:docPr id="9" name="Picture 9"/>
            <wp:cNvGraphicFramePr>
              <a:graphicFrameLocks noChangeAspect="1"/>
            </wp:cNvGraphicFramePr>
            <a:graphic>
              <a:graphicData uri="http://schemas.openxmlformats.org/drawingml/2006/picture">
                <pic:pic>
                  <pic:nvPicPr>
                    <pic:cNvPr id="0" name="03_date_effect.png"/>
                    <pic:cNvPicPr/>
                  </pic:nvPicPr>
                  <pic:blipFill>
                    <a:blip r:embed="rId17"/>
                    <a:stretch>
                      <a:fillRect/>
                    </a:stretch>
                  </pic:blipFill>
                  <pic:spPr>
                    <a:xfrm>
                      <a:off x="0" y="0"/>
                      <a:ext cx="5852160" cy="2029295"/>
                    </a:xfrm>
                    <a:prstGeom prst="rect"/>
                  </pic:spPr>
                </pic:pic>
              </a:graphicData>
            </a:graphic>
          </wp:inline>
        </w:drawing>
      </w:r>
    </w:p>
    <w:p>
      <w:r>
        <w:rPr>
          <w:i/>
          <w:sz w:val="17"/>
        </w:rPr>
        <w:t>Figure 9. The date effect: in-sample R², and out-of-sample error on unseen Sep–Oct dates.</w:t>
      </w:r>
    </w:p>
    <w:p>
      <w:r>
        <w:t>How the R² is computed: (1) regress log(rate) on load features plus one indicator per date (304 dates, clean labels); the indicator coefficients are per-date price levels; (2) regress those 304 levels on log(daily market_index), the quarter-end ramp and a linear trend. 0.97 is the ordinary in-sample R² of step 2. It describes the history; it is not proof that the same relationship holds in Nov–Dec.</w:t>
      </w:r>
    </w:p>
    <w:p>
      <w:r>
        <w:drawing>
          <wp:inline xmlns:a="http://schemas.openxmlformats.org/drawingml/2006/main" xmlns:pic="http://schemas.openxmlformats.org/drawingml/2006/picture">
            <wp:extent cx="5303520" cy="2492417"/>
            <wp:docPr id="10" name="Picture 10"/>
            <wp:cNvGraphicFramePr>
              <a:graphicFrameLocks noChangeAspect="1"/>
            </wp:cNvGraphicFramePr>
            <a:graphic>
              <a:graphicData uri="http://schemas.openxmlformats.org/drawingml/2006/picture">
                <pic:pic>
                  <pic:nvPicPr>
                    <pic:cNvPr id="0" name="04_unseen_cities.png"/>
                    <pic:cNvPicPr/>
                  </pic:nvPicPr>
                  <pic:blipFill>
                    <a:blip r:embed="rId18"/>
                    <a:stretch>
                      <a:fillRect/>
                    </a:stretch>
                  </pic:blipFill>
                  <pic:spPr>
                    <a:xfrm>
                      <a:off x="0" y="0"/>
                      <a:ext cx="5303520" cy="2492417"/>
                    </a:xfrm>
                    <a:prstGeom prst="rect"/>
                  </pic:spPr>
                </pic:pic>
              </a:graphicData>
            </a:graphic>
          </wp:inline>
        </w:drawing>
      </w:r>
    </w:p>
    <w:p>
      <w:r>
        <w:rPr>
          <w:i/>
          <w:sz w:val="17"/>
        </w:rPr>
        <w:t>Figure 10. Unseen-city stress test, 5 random draws.</w:t>
      </w:r>
    </w:p>
    <w:p>
      <w:pPr>
        <w:pStyle w:val="Heading3"/>
      </w:pPr>
      <w:r>
        <w:t>Unseen-city test: exact design</w:t>
      </w:r>
    </w:p>
    <w:p>
      <w:pPr>
        <w:pStyle w:val="ListBullet"/>
      </w:pPr>
      <w:r>
        <w:rPr>
          <w:b/>
        </w:rPr>
        <w:t>Data.</w:t>
      </w:r>
      <w:r>
        <w:t xml:space="preserve"> Fold 3 only (train 1 Jan – 31 Aug, evaluate 1 Sep – 31 Oct), using training data only. validation.csv is never used, since it has no labels.</w:t>
      </w:r>
    </w:p>
    <w:p>
      <w:pPr>
        <w:pStyle w:val="ListBullet"/>
      </w:pPr>
      <w:r>
        <w:rPr>
          <w:b/>
        </w:rPr>
        <w:t>Cities.</w:t>
      </w:r>
      <w:r>
        <w:t xml:space="preserve"> For each draw, 8 cities are sampled at random (seed 42) from the 64 training cities. They are NOT the 8 real unseen validation cities (Allentown, Charlotte, Chicago, Jackson, Knoxville, Laredo, Norfolk, San Diego), which cannot be scored. So the test measures generalisation to unseen cities in general, not to those specific ones.</w:t>
      </w:r>
    </w:p>
    <w:p>
      <w:pPr>
        <w:pStyle w:val="ListBullet"/>
      </w:pPr>
      <w:r>
        <w:rPr>
          <w:b/>
        </w:rPr>
        <w:t>Removal.</w:t>
      </w:r>
      <w:r>
        <w:t xml:space="preserve"> Every training load whose pickup OR delivery is one of the 8 cities is removed before fitting (the anomaly detector is also re-fitted without them).</w:t>
      </w:r>
    </w:p>
    <w:p>
      <w:pPr>
        <w:pStyle w:val="ListBullet"/>
      </w:pPr>
      <w:r>
        <w:rPr>
          <w:b/>
        </w:rPr>
        <w:t>Evaluation.</w:t>
      </w:r>
      <w:r>
        <w:t xml:space="preserve"> Only clean Sep–Oct loads touching at least one of the 8 cities are scored. The number differs from the 1,447 validation loads because it depends on which cities are drawn.</w:t>
      </w:r>
    </w:p>
    <w:p>
      <w:pPr>
        <w:pStyle w:val="ListBullet"/>
      </w:pPr>
      <w:r>
        <w:rPr>
          <w:b/>
        </w:rPr>
        <w:t>Comparison.</w:t>
      </w:r>
      <w:r>
        <w:t xml:space="preserve"> The same loads are also predicted by a model trained WITH those cities. The difference isolates the cost of never having seen a city. (Ordinary fold-3 MAPE on all clean loads: 1.39%.)</w:t>
      </w:r>
    </w:p>
    <w:tbl>
      <w:tblPr>
        <w:tblStyle w:val="TableGrid"/>
        <w:tblW w:type="auto" w:w="0"/>
        <w:jc w:val="center"/>
        <w:tblLayout w:type="fixed"/>
        <w:tblLook w:firstColumn="1" w:firstRow="1" w:lastColumn="0" w:lastRow="0" w:noHBand="0" w:noVBand="1" w:val="04A0"/>
        <w:tblLayout w:type="fixed"/>
      </w:tblPr>
      <w:tblGrid>
        <w:gridCol w:w="576"/>
        <w:gridCol w:w="4320"/>
        <w:gridCol w:w="1007"/>
        <w:gridCol w:w="1152"/>
        <w:gridCol w:w="1152"/>
        <w:gridCol w:w="864"/>
      </w:tblGrid>
      <w:tr>
        <w:tc>
          <w:tcPr>
            <w:tcW w:type="dxa" w:w="576"/>
            <w:shd w:val="clear" w:color="auto" w:fill="064A56"/>
          </w:tcPr>
          <w:p>
            <w:r>
              <w:rPr>
                <w:sz w:val="17"/>
              </w:rPr>
            </w:r>
            <w:r>
              <w:rPr>
                <w:b/>
                <w:color w:val="FFFFFF"/>
                <w:sz w:val="17"/>
              </w:rPr>
              <w:t>Draw</w:t>
            </w:r>
          </w:p>
        </w:tc>
        <w:tc>
          <w:tcPr>
            <w:tcW w:type="dxa" w:w="4320"/>
            <w:shd w:val="clear" w:color="auto" w:fill="064A56"/>
          </w:tcPr>
          <w:p>
            <w:r>
              <w:rPr>
                <w:sz w:val="17"/>
              </w:rPr>
            </w:r>
            <w:r>
              <w:rPr>
                <w:b/>
                <w:color w:val="FFFFFF"/>
                <w:sz w:val="17"/>
              </w:rPr>
              <w:t>Held-out cities</w:t>
            </w:r>
          </w:p>
        </w:tc>
        <w:tc>
          <w:tcPr>
            <w:tcW w:type="dxa" w:w="1008"/>
            <w:shd w:val="clear" w:color="auto" w:fill="064A56"/>
          </w:tcPr>
          <w:p>
            <w:r>
              <w:rPr>
                <w:sz w:val="17"/>
              </w:rPr>
            </w:r>
            <w:r>
              <w:rPr>
                <w:b/>
                <w:color w:val="FFFFFF"/>
                <w:sz w:val="17"/>
              </w:rPr>
              <w:t>Loads scored</w:t>
            </w:r>
          </w:p>
        </w:tc>
        <w:tc>
          <w:tcPr>
            <w:tcW w:type="dxa" w:w="1152"/>
            <w:shd w:val="clear" w:color="auto" w:fill="064A56"/>
          </w:tcPr>
          <w:p>
            <w:r>
              <w:rPr>
                <w:sz w:val="17"/>
              </w:rPr>
            </w:r>
            <w:r>
              <w:rPr>
                <w:b/>
                <w:color w:val="FFFFFF"/>
                <w:sz w:val="17"/>
              </w:rPr>
              <w:t>MAPE, cities seen</w:t>
            </w:r>
          </w:p>
        </w:tc>
        <w:tc>
          <w:tcPr>
            <w:tcW w:type="dxa" w:w="1152"/>
            <w:shd w:val="clear" w:color="auto" w:fill="064A56"/>
          </w:tcPr>
          <w:p>
            <w:r>
              <w:rPr>
                <w:sz w:val="17"/>
              </w:rPr>
            </w:r>
            <w:r>
              <w:rPr>
                <w:b/>
                <w:color w:val="FFFFFF"/>
                <w:sz w:val="17"/>
              </w:rPr>
              <w:t>MAPE, cities removed</w:t>
            </w:r>
          </w:p>
        </w:tc>
        <w:tc>
          <w:tcPr>
            <w:tcW w:type="dxa" w:w="864"/>
            <w:shd w:val="clear" w:color="auto" w:fill="064A56"/>
          </w:tcPr>
          <w:p>
            <w:r>
              <w:rPr>
                <w:sz w:val="17"/>
              </w:rPr>
            </w:r>
            <w:r>
              <w:rPr>
                <w:b/>
                <w:color w:val="FFFFFF"/>
                <w:sz w:val="17"/>
              </w:rPr>
              <w:t>Cost</w:t>
            </w:r>
          </w:p>
        </w:tc>
      </w:tr>
      <w:tr>
        <w:tc>
          <w:tcPr>
            <w:tcW w:type="dxa" w:w="576"/>
          </w:tcPr>
          <w:p>
            <w:r>
              <w:rPr>
                <w:sz w:val="17"/>
              </w:rPr>
            </w:r>
            <w:r>
              <w:rPr>
                <w:b w:val="0"/>
                <w:sz w:val="17"/>
              </w:rPr>
              <w:t>1</w:t>
            </w:r>
          </w:p>
        </w:tc>
        <w:tc>
          <w:tcPr>
            <w:tcW w:type="dxa" w:w="4320"/>
          </w:tcPr>
          <w:p>
            <w:r>
              <w:rPr>
                <w:sz w:val="17"/>
              </w:rPr>
            </w:r>
            <w:r>
              <w:rPr>
                <w:b w:val="0"/>
                <w:sz w:val="17"/>
              </w:rPr>
              <w:t>Tulsa, Washington, San Antonio, Memphis, Toledo, Hartford, Bakersfield, New York</w:t>
            </w:r>
          </w:p>
        </w:tc>
        <w:tc>
          <w:tcPr>
            <w:tcW w:type="dxa" w:w="1008"/>
          </w:tcPr>
          <w:p>
            <w:r>
              <w:rPr>
                <w:sz w:val="17"/>
              </w:rPr>
            </w:r>
            <w:r>
              <w:rPr>
                <w:b w:val="0"/>
                <w:sz w:val="17"/>
              </w:rPr>
              <w:t>2,477</w:t>
            </w:r>
          </w:p>
        </w:tc>
        <w:tc>
          <w:tcPr>
            <w:tcW w:type="dxa" w:w="1152"/>
          </w:tcPr>
          <w:p>
            <w:r>
              <w:rPr>
                <w:sz w:val="17"/>
              </w:rPr>
            </w:r>
            <w:r>
              <w:rPr>
                <w:b w:val="0"/>
                <w:sz w:val="17"/>
              </w:rPr>
              <w:t>1.35%</w:t>
            </w:r>
          </w:p>
        </w:tc>
        <w:tc>
          <w:tcPr>
            <w:tcW w:type="dxa" w:w="1152"/>
          </w:tcPr>
          <w:p>
            <w:r>
              <w:rPr>
                <w:sz w:val="17"/>
              </w:rPr>
            </w:r>
            <w:r>
              <w:rPr>
                <w:b w:val="0"/>
                <w:sz w:val="17"/>
              </w:rPr>
              <w:t>1.50%</w:t>
            </w:r>
          </w:p>
        </w:tc>
        <w:tc>
          <w:tcPr>
            <w:tcW w:type="dxa" w:w="864"/>
          </w:tcPr>
          <w:p>
            <w:r>
              <w:rPr>
                <w:sz w:val="17"/>
              </w:rPr>
            </w:r>
            <w:r>
              <w:rPr>
                <w:b w:val="0"/>
                <w:sz w:val="17"/>
              </w:rPr>
              <w:t>+0.15 pt</w:t>
            </w:r>
          </w:p>
        </w:tc>
      </w:tr>
      <w:tr>
        <w:tc>
          <w:tcPr>
            <w:tcW w:type="dxa" w:w="576"/>
          </w:tcPr>
          <w:p>
            <w:r>
              <w:rPr>
                <w:sz w:val="17"/>
              </w:rPr>
            </w:r>
            <w:r>
              <w:rPr>
                <w:b w:val="0"/>
                <w:sz w:val="17"/>
              </w:rPr>
              <w:t>2</w:t>
            </w:r>
          </w:p>
        </w:tc>
        <w:tc>
          <w:tcPr>
            <w:tcW w:type="dxa" w:w="4320"/>
          </w:tcPr>
          <w:p>
            <w:r>
              <w:rPr>
                <w:sz w:val="17"/>
              </w:rPr>
            </w:r>
            <w:r>
              <w:rPr>
                <w:b w:val="0"/>
                <w:sz w:val="17"/>
              </w:rPr>
              <w:t>Houston, New York, Jacksonville, Green Bay, Baton Rouge, Reno, Las Vegas, Charleston</w:t>
            </w:r>
          </w:p>
        </w:tc>
        <w:tc>
          <w:tcPr>
            <w:tcW w:type="dxa" w:w="1008"/>
          </w:tcPr>
          <w:p>
            <w:r>
              <w:rPr>
                <w:sz w:val="17"/>
              </w:rPr>
            </w:r>
            <w:r>
              <w:rPr>
                <w:b w:val="0"/>
                <w:sz w:val="17"/>
              </w:rPr>
              <w:t>2,115</w:t>
            </w:r>
          </w:p>
        </w:tc>
        <w:tc>
          <w:tcPr>
            <w:tcW w:type="dxa" w:w="1152"/>
          </w:tcPr>
          <w:p>
            <w:r>
              <w:rPr>
                <w:sz w:val="17"/>
              </w:rPr>
            </w:r>
            <w:r>
              <w:rPr>
                <w:b w:val="0"/>
                <w:sz w:val="17"/>
              </w:rPr>
              <w:t>1.38%</w:t>
            </w:r>
          </w:p>
        </w:tc>
        <w:tc>
          <w:tcPr>
            <w:tcW w:type="dxa" w:w="1152"/>
          </w:tcPr>
          <w:p>
            <w:r>
              <w:rPr>
                <w:sz w:val="17"/>
              </w:rPr>
            </w:r>
            <w:r>
              <w:rPr>
                <w:b w:val="0"/>
                <w:sz w:val="17"/>
              </w:rPr>
              <w:t>1.53%</w:t>
            </w:r>
          </w:p>
        </w:tc>
        <w:tc>
          <w:tcPr>
            <w:tcW w:type="dxa" w:w="864"/>
          </w:tcPr>
          <w:p>
            <w:r>
              <w:rPr>
                <w:sz w:val="17"/>
              </w:rPr>
            </w:r>
            <w:r>
              <w:rPr>
                <w:b w:val="0"/>
                <w:sz w:val="17"/>
              </w:rPr>
              <w:t>+0.14 pt</w:t>
            </w:r>
          </w:p>
        </w:tc>
      </w:tr>
      <w:tr>
        <w:tc>
          <w:tcPr>
            <w:tcW w:type="dxa" w:w="576"/>
          </w:tcPr>
          <w:p>
            <w:r>
              <w:rPr>
                <w:sz w:val="17"/>
              </w:rPr>
            </w:r>
            <w:r>
              <w:rPr>
                <w:b w:val="0"/>
                <w:sz w:val="17"/>
              </w:rPr>
              <w:t>3</w:t>
            </w:r>
          </w:p>
        </w:tc>
        <w:tc>
          <w:tcPr>
            <w:tcW w:type="dxa" w:w="4320"/>
          </w:tcPr>
          <w:p>
            <w:r>
              <w:rPr>
                <w:sz w:val="17"/>
              </w:rPr>
            </w:r>
            <w:r>
              <w:rPr>
                <w:b w:val="0"/>
                <w:sz w:val="17"/>
              </w:rPr>
              <w:t>Tulsa, Atlanta, Cincinnati, Salt Lake City, Little Rock, Harrisburg, San Francisco, Bakersfield</w:t>
            </w:r>
          </w:p>
        </w:tc>
        <w:tc>
          <w:tcPr>
            <w:tcW w:type="dxa" w:w="1008"/>
          </w:tcPr>
          <w:p>
            <w:r>
              <w:rPr>
                <w:sz w:val="17"/>
              </w:rPr>
            </w:r>
            <w:r>
              <w:rPr>
                <w:b w:val="0"/>
                <w:sz w:val="17"/>
              </w:rPr>
              <w:t>2,160</w:t>
            </w:r>
          </w:p>
        </w:tc>
        <w:tc>
          <w:tcPr>
            <w:tcW w:type="dxa" w:w="1152"/>
          </w:tcPr>
          <w:p>
            <w:r>
              <w:rPr>
                <w:sz w:val="17"/>
              </w:rPr>
            </w:r>
            <w:r>
              <w:rPr>
                <w:b w:val="0"/>
                <w:sz w:val="17"/>
              </w:rPr>
              <w:t>1.38%</w:t>
            </w:r>
          </w:p>
        </w:tc>
        <w:tc>
          <w:tcPr>
            <w:tcW w:type="dxa" w:w="1152"/>
          </w:tcPr>
          <w:p>
            <w:r>
              <w:rPr>
                <w:sz w:val="17"/>
              </w:rPr>
            </w:r>
            <w:r>
              <w:rPr>
                <w:b w:val="0"/>
                <w:sz w:val="17"/>
              </w:rPr>
              <w:t>1.52%</w:t>
            </w:r>
          </w:p>
        </w:tc>
        <w:tc>
          <w:tcPr>
            <w:tcW w:type="dxa" w:w="864"/>
          </w:tcPr>
          <w:p>
            <w:r>
              <w:rPr>
                <w:sz w:val="17"/>
              </w:rPr>
            </w:r>
            <w:r>
              <w:rPr>
                <w:b w:val="0"/>
                <w:sz w:val="17"/>
              </w:rPr>
              <w:t>+0.14 pt</w:t>
            </w:r>
          </w:p>
        </w:tc>
      </w:tr>
      <w:tr>
        <w:tc>
          <w:tcPr>
            <w:tcW w:type="dxa" w:w="576"/>
          </w:tcPr>
          <w:p>
            <w:r>
              <w:rPr>
                <w:sz w:val="17"/>
              </w:rPr>
            </w:r>
            <w:r>
              <w:rPr>
                <w:b w:val="0"/>
                <w:sz w:val="17"/>
              </w:rPr>
              <w:t>4</w:t>
            </w:r>
          </w:p>
        </w:tc>
        <w:tc>
          <w:tcPr>
            <w:tcW w:type="dxa" w:w="4320"/>
          </w:tcPr>
          <w:p>
            <w:r>
              <w:rPr>
                <w:sz w:val="17"/>
              </w:rPr>
            </w:r>
            <w:r>
              <w:rPr>
                <w:b w:val="0"/>
                <w:sz w:val="17"/>
              </w:rPr>
              <w:t>Chattanooga, Harrisburg, Phoenix, Tucson, Salt Lake City, Savannah, Green Bay, Mobile</w:t>
            </w:r>
          </w:p>
        </w:tc>
        <w:tc>
          <w:tcPr>
            <w:tcW w:type="dxa" w:w="1008"/>
          </w:tcPr>
          <w:p>
            <w:r>
              <w:rPr>
                <w:sz w:val="17"/>
              </w:rPr>
            </w:r>
            <w:r>
              <w:rPr>
                <w:b w:val="0"/>
                <w:sz w:val="17"/>
              </w:rPr>
              <w:t>2,184</w:t>
            </w:r>
          </w:p>
        </w:tc>
        <w:tc>
          <w:tcPr>
            <w:tcW w:type="dxa" w:w="1152"/>
          </w:tcPr>
          <w:p>
            <w:r>
              <w:rPr>
                <w:sz w:val="17"/>
              </w:rPr>
            </w:r>
            <w:r>
              <w:rPr>
                <w:b w:val="0"/>
                <w:sz w:val="17"/>
              </w:rPr>
              <w:t>1.37%</w:t>
            </w:r>
          </w:p>
        </w:tc>
        <w:tc>
          <w:tcPr>
            <w:tcW w:type="dxa" w:w="1152"/>
          </w:tcPr>
          <w:p>
            <w:r>
              <w:rPr>
                <w:sz w:val="17"/>
              </w:rPr>
            </w:r>
            <w:r>
              <w:rPr>
                <w:b w:val="0"/>
                <w:sz w:val="17"/>
              </w:rPr>
              <w:t>1.46%</w:t>
            </w:r>
          </w:p>
        </w:tc>
        <w:tc>
          <w:tcPr>
            <w:tcW w:type="dxa" w:w="864"/>
          </w:tcPr>
          <w:p>
            <w:r>
              <w:rPr>
                <w:sz w:val="17"/>
              </w:rPr>
            </w:r>
            <w:r>
              <w:rPr>
                <w:b w:val="0"/>
                <w:sz w:val="17"/>
              </w:rPr>
              <w:t>+0.08 pt</w:t>
            </w:r>
          </w:p>
        </w:tc>
      </w:tr>
      <w:tr>
        <w:tc>
          <w:tcPr>
            <w:tcW w:type="dxa" w:w="576"/>
          </w:tcPr>
          <w:p>
            <w:r>
              <w:rPr>
                <w:sz w:val="17"/>
              </w:rPr>
            </w:r>
            <w:r>
              <w:rPr>
                <w:b w:val="0"/>
                <w:sz w:val="17"/>
              </w:rPr>
              <w:t>5</w:t>
            </w:r>
          </w:p>
        </w:tc>
        <w:tc>
          <w:tcPr>
            <w:tcW w:type="dxa" w:w="4320"/>
          </w:tcPr>
          <w:p>
            <w:r>
              <w:rPr>
                <w:sz w:val="17"/>
              </w:rPr>
            </w:r>
            <w:r>
              <w:rPr>
                <w:b w:val="0"/>
                <w:sz w:val="17"/>
              </w:rPr>
              <w:t>Fresno, St. Louis, Fort Wayne, New Orleans, Green Bay, Harrisburg, Syracuse, Salt Lake City</w:t>
            </w:r>
          </w:p>
        </w:tc>
        <w:tc>
          <w:tcPr>
            <w:tcW w:type="dxa" w:w="1008"/>
          </w:tcPr>
          <w:p>
            <w:r>
              <w:rPr>
                <w:sz w:val="17"/>
              </w:rPr>
            </w:r>
            <w:r>
              <w:rPr>
                <w:b w:val="0"/>
                <w:sz w:val="17"/>
              </w:rPr>
              <w:t>1,901</w:t>
            </w:r>
          </w:p>
        </w:tc>
        <w:tc>
          <w:tcPr>
            <w:tcW w:type="dxa" w:w="1152"/>
          </w:tcPr>
          <w:p>
            <w:r>
              <w:rPr>
                <w:sz w:val="17"/>
              </w:rPr>
            </w:r>
            <w:r>
              <w:rPr>
                <w:b w:val="0"/>
                <w:sz w:val="17"/>
              </w:rPr>
              <w:t>1.40%</w:t>
            </w:r>
          </w:p>
        </w:tc>
        <w:tc>
          <w:tcPr>
            <w:tcW w:type="dxa" w:w="1152"/>
          </w:tcPr>
          <w:p>
            <w:r>
              <w:rPr>
                <w:sz w:val="17"/>
              </w:rPr>
            </w:r>
            <w:r>
              <w:rPr>
                <w:b w:val="0"/>
                <w:sz w:val="17"/>
              </w:rPr>
              <w:t>1.51%</w:t>
            </w:r>
          </w:p>
        </w:tc>
        <w:tc>
          <w:tcPr>
            <w:tcW w:type="dxa" w:w="864"/>
          </w:tcPr>
          <w:p>
            <w:r>
              <w:rPr>
                <w:sz w:val="17"/>
              </w:rPr>
            </w:r>
            <w:r>
              <w:rPr>
                <w:b w:val="0"/>
                <w:sz w:val="17"/>
              </w:rPr>
              <w:t>+0.11 pt</w:t>
            </w:r>
          </w:p>
        </w:tc>
      </w:tr>
    </w:tbl>
    <w:p/>
    <w:p>
      <w:r>
        <w:t>Interpretation: the model loses 0.08–0.15 points of MAPE on loads touching a city it has never seen. This is evidence that the coordinate-based features let it generalise to new cities. It does not prove that coordinates alone cause this, or that the 8 real validation cities behave the same way.</w:t>
      </w:r>
    </w:p>
    <w:p>
      <w:pPr>
        <w:pStyle w:val="Heading1"/>
      </w:pPr>
      <w:r>
        <w:t>7. Fixed December prediction chart</w:t>
      </w:r>
    </w:p>
    <w:p>
      <w:r>
        <w:t>Produced by the provided score.py from data/december_chart_inputs.csv: Lexington → Fort Wayne, 360 miles, Dry Van, 32,000 lb; only the date changes.</w:t>
      </w:r>
    </w:p>
    <w:p>
      <w:r>
        <w:drawing>
          <wp:inline xmlns:a="http://schemas.openxmlformats.org/drawingml/2006/main" xmlns:pic="http://schemas.openxmlformats.org/drawingml/2006/picture">
            <wp:extent cx="5852160" cy="1906063"/>
            <wp:docPr id="11" name="Picture 11"/>
            <wp:cNvGraphicFramePr>
              <a:graphicFrameLocks noChangeAspect="1"/>
            </wp:cNvGraphicFramePr>
            <a:graphic>
              <a:graphicData uri="http://schemas.openxmlformats.org/drawingml/2006/picture">
                <pic:pic>
                  <pic:nvPicPr>
                    <pic:cNvPr id="0" name="candidate_december.png"/>
                    <pic:cNvPicPr/>
                  </pic:nvPicPr>
                  <pic:blipFill>
                    <a:blip r:embed="rId19"/>
                    <a:stretch>
                      <a:fillRect/>
                    </a:stretch>
                  </pic:blipFill>
                  <pic:spPr>
                    <a:xfrm>
                      <a:off x="0" y="0"/>
                      <a:ext cx="5852160" cy="1906063"/>
                    </a:xfrm>
                    <a:prstGeom prst="rect"/>
                  </pic:spPr>
                </pic:pic>
              </a:graphicData>
            </a:graphic>
          </wp:inline>
        </w:drawing>
      </w:r>
    </w:p>
    <w:p>
      <w:r>
        <w:rPr>
          <w:i/>
          <w:sz w:val="17"/>
        </w:rPr>
        <w:t>Figure 11. Output of score.py.</w:t>
      </w:r>
    </w:p>
    <w:p>
      <w:r>
        <w:rPr>
          <w:b/>
        </w:rPr>
        <w:t>Inputs.</w:t>
      </w:r>
      <w:r>
        <w:t xml:space="preserve"> The chart file has no coordinates, market_index or quote_signal. Coordinates come from the city lookup. market_index and quote_signal are the medians of the values supplied in validation.csv for each December date: these are input features provided by the assessment, and no label is used. The values used are saved in outputs/december_inputs_used.csv. The instructions do not say whether these supplied feature values may be used for the chart; if only the seven chart columns are allowed, scenario B in Figure 12 (training data only) is the alternative, and it gives nearly the same curve.</w:t>
      </w:r>
    </w:p>
    <w:p>
      <w:r>
        <w:rPr>
          <w:b/>
        </w:rPr>
        <w:t>Shape.</w:t>
      </w:r>
      <w:r>
        <w:t xml:space="preserve"> The weekly market cycle drives the 7-day wave; the quarter-end ramp and trend lift prices into year end ($825 → $861). For reference, the 21 Dry Van loads on this lane in training ranged $758–$934.</w:t>
      </w:r>
    </w:p>
    <w:p>
      <w:r>
        <w:rPr>
          <w:b/>
        </w:rPr>
        <w:t>Christmas.</w:t>
      </w:r>
      <w:r>
        <w:t xml:space="preserve"> Christmas Day is priced at $859, the 2nd highest of the 31 days (peak $861 on 31 Dec). That is not learned holiday behaviour: 25 Dec 2025 is a Thursday (the weekly market peak is Wed–Thu) and late December is in the quarter-end window, where the data shows rates rising in March, June and September. The training data contains no Christmas, so whether holiday demand pushes rates up or down cannot be checked. Treat late-December values as the least certain part of the chart.</w:t>
      </w:r>
    </w:p>
    <w:p>
      <w:r>
        <w:drawing>
          <wp:inline xmlns:a="http://schemas.openxmlformats.org/drawingml/2006/main" xmlns:pic="http://schemas.openxmlformats.org/drawingml/2006/picture">
            <wp:extent cx="5852160" cy="3413760"/>
            <wp:docPr id="12" name="Picture 12"/>
            <wp:cNvGraphicFramePr>
              <a:graphicFrameLocks noChangeAspect="1"/>
            </wp:cNvGraphicFramePr>
            <a:graphic>
              <a:graphicData uri="http://schemas.openxmlformats.org/drawingml/2006/picture">
                <pic:pic>
                  <pic:nvPicPr>
                    <pic:cNvPr id="0" name="06_december_scenarios.png"/>
                    <pic:cNvPicPr/>
                  </pic:nvPicPr>
                  <pic:blipFill>
                    <a:blip r:embed="rId20"/>
                    <a:stretch>
                      <a:fillRect/>
                    </a:stretch>
                  </pic:blipFill>
                  <pic:spPr>
                    <a:xfrm>
                      <a:off x="0" y="0"/>
                      <a:ext cx="5852160" cy="3413760"/>
                    </a:xfrm>
                    <a:prstGeom prst="rect"/>
                  </pic:spPr>
                </pic:pic>
              </a:graphicData>
            </a:graphic>
          </wp:inline>
        </w:drawing>
      </w:r>
    </w:p>
    <w:p>
      <w:r>
        <w:rPr>
          <w:i/>
          <w:sz w:val="17"/>
        </w:rPr>
        <w:t>Figure 12. The same lane under alternative assumptions. B and C use training data only.</w:t>
      </w:r>
    </w:p>
    <w:p>
      <w:r>
        <w:rPr>
          <w:b/>
        </w:rPr>
        <w:t>Sensitivity.</w:t>
      </w:r>
      <w:r>
        <w:t xml:space="preserve"> If the December market_index were not available, a forecast from October's weekday profile gives almost the same curve (mean $843 vs $843). Freezing the trend at 31 October lowers prices by about 0.9%. All scenarios lie within a ~5% band. These are model predictions under stated assumptions, not forecasts with known accuracy: no December appears in the training data, so Christmas/New-Year effects cannot be learned.</w:t>
      </w:r>
    </w:p>
    <w:p>
      <w:pPr>
        <w:pStyle w:val="Heading1"/>
      </w:pPr>
      <w:r>
        <w:t>8. Limitations and next steps</w:t>
      </w:r>
    </w:p>
    <w:p>
      <w:pPr>
        <w:pStyle w:val="ListBullet"/>
      </w:pPr>
      <w:r>
        <w:rPr>
          <w:b/>
        </w:rPr>
        <w:t>Time.</w:t>
      </w:r>
      <w:r>
        <w:t xml:space="preserve"> Less than one year of history and no prior December; the trend and quarter-end effect are assumed to continue. Re-estimate monthly; error grows over a 2-month horizon, so frequent retraining helps.</w:t>
      </w:r>
    </w:p>
    <w:p>
      <w:pPr>
        <w:pStyle w:val="ListBullet"/>
      </w:pPr>
      <w:r>
        <w:rPr>
          <w:b/>
        </w:rPr>
        <w:t>Distance shape.</w:t>
      </w:r>
      <w:r>
        <w:t xml:space="preserve"> Short hauls are under-predicted by ~0.5% and the longest over-predicted by ~0.8%; a distance spline in the Ridge stage would address this.</w:t>
      </w:r>
    </w:p>
    <w:p>
      <w:pPr>
        <w:pStyle w:val="ListBullet"/>
      </w:pPr>
      <w:r>
        <w:rPr>
          <w:b/>
        </w:rPr>
        <w:t>Anomalies.</w:t>
      </w:r>
      <w:r>
        <w:t xml:space="preserve"> If the anomalous labels have a known cause (e.g. unit or per-mile entry), they could be corrected instead of dropped.</w:t>
      </w:r>
    </w:p>
    <w:p>
      <w:pPr>
        <w:pStyle w:val="ListBullet"/>
      </w:pPr>
      <w:r>
        <w:rPr>
          <w:b/>
        </w:rPr>
        <w:t>Uncertainty.</w:t>
      </w:r>
      <w:r>
        <w:t xml:space="preserve"> Prediction intervals (quantile models or conformal prediction on the time folds) would be more useful for pricing than a point estimate.</w:t>
      </w:r>
    </w:p>
    <w:p>
      <w:r>
        <w:rPr>
          <w:b/>
        </w:rPr>
        <w:t xml:space="preserve">Reproduce: </w:t>
      </w:r>
      <w:r>
        <w:t>python -m pip install -r requirements.txt; python -m src.train; python -m src.compare; python -m src.eda; python -m src.checks; python -m src.diagnostics; python score.py --predictions validation_predictions.csv --december-predictions data/december_chart_inputs.csv; python make_report.py; python make_figure_book.py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4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4A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64A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