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double.MAX_VALUE //El mayor numero que se le puede dar a un double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martes practica con flowgoring y parte tipo test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00000" cy="13970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870625" y="1070775"/>
                          <a:ext cx="5400000" cy="1397000"/>
                          <a:chOff x="870625" y="1070775"/>
                          <a:chExt cx="5934300" cy="152110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870625" y="1070775"/>
                            <a:ext cx="5934300" cy="51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52"/>
                                  <w:vertAlign w:val="baseline"/>
                                </w:rPr>
                                <w:t xml:space="preserve">Short → int → long → float → double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52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20925" y="1621075"/>
                            <a:ext cx="545400" cy="61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966325" y="1621075"/>
                            <a:ext cx="525300" cy="61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1581125" y="2231575"/>
                            <a:ext cx="770400" cy="36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char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2181550" y="1651075"/>
                            <a:ext cx="410400" cy="580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00000" cy="13970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0" cy="1397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Casteos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variable1=(tipo) variable1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