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Arial" w:cs="Arial" w:eastAsia="Arial" w:hAnsi="Arial"/>
          <w:b/>
          <w:bCs/>
          <w:color w:val="1F3864"/>
          <w:sz w:val="40"/>
          <w:szCs w:val="40"/>
        </w:rPr>
        <w:t xml:space="preserve">Progress Report</w:t>
      </w:r>
    </w:p>
    <w:p>
      <w:pPr>
        <w:spacing w:after="0" w:before="120"/>
        <w:jc w:val="center"/>
      </w:pPr>
      <w:r>
        <w:rPr>
          <w:rFonts w:ascii="Arial" w:cs="Arial" w:eastAsia="Arial" w:hAnsi="Arial"/>
          <w:color w:val="2E75B6"/>
          <w:sz w:val="28"/>
          <w:szCs w:val="28"/>
        </w:rPr>
        <w:t xml:space="preserve">Major Thesis Project (MTP)</w:t>
      </w:r>
    </w:p>
    <w:p>
      <w:pPr>
        <w:spacing w:after="0" w:before="160"/>
        <w:jc w:val="center"/>
      </w:pPr>
      <w:r>
        <w:rPr>
          <w:rFonts w:ascii="Arial" w:cs="Arial" w:eastAsia="Arial" w:hAnsi="Arial"/>
          <w:color w:val="333333"/>
          <w:sz w:val="24"/>
          <w:szCs w:val="24"/>
        </w:rPr>
        <w:t xml:space="preserve">Physics-Aware Small Language Model for</w:t>
      </w:r>
    </w:p>
    <w:p>
      <w:pPr>
        <w:spacing w:after="0" w:before="40"/>
        <w:jc w:val="center"/>
      </w:pPr>
      <w:r>
        <w:rPr>
          <w:rFonts w:ascii="Arial" w:cs="Arial" w:eastAsia="Arial" w:hAnsi="Arial"/>
          <w:color w:val="333333"/>
          <w:sz w:val="24"/>
          <w:szCs w:val="24"/>
        </w:rPr>
        <w:t xml:space="preserve">Marine Hydrodynamics and Ocean Engineering</w:t>
      </w:r>
    </w:p>
    <w:p>
      <w:pPr>
        <w:pBdr>
          <w:bottom w:val="single" w:color="2E75B6" w:sz="6" w:space="1"/>
        </w:pBdr>
        <w:spacing w:after="0" w:before="300"/>
        <w:jc w:val="center"/>
      </w:pPr>
    </w:p>
    <w:p>
      <w:pPr>
        <w:spacing w:after="200" w:before="200"/>
      </w:pPr>
    </w:p>
    <w:p>
      <w:pPr>
        <w:spacing w:after="120" w:before="0" w:line="276"/>
        <w:jc w:val="left"/>
      </w:pPr>
      <w:r>
        <w:rPr>
          <w:rFonts w:ascii="Arial" w:cs="Arial" w:eastAsia="Arial" w:hAnsi="Arial"/>
          <w:b/>
          <w:bCs/>
          <w:sz w:val="22"/>
          <w:szCs w:val="22"/>
        </w:rPr>
        <w:t xml:space="preserve">Student: </w:t>
      </w:r>
      <w:r>
        <w:rPr>
          <w:rFonts w:ascii="Arial" w:cs="Arial" w:eastAsia="Arial" w:hAnsi="Arial"/>
          <w:sz w:val="22"/>
          <w:szCs w:val="22"/>
        </w:rPr>
        <w:t xml:space="preserve">Charan Raghu</w:t>
      </w:r>
    </w:p>
    <w:p>
      <w:pPr>
        <w:spacing w:after="120" w:before="0" w:line="276"/>
        <w:jc w:val="left"/>
      </w:pPr>
      <w:r>
        <w:rPr>
          <w:rFonts w:ascii="Arial" w:cs="Arial" w:eastAsia="Arial" w:hAnsi="Arial"/>
          <w:b/>
          <w:bCs/>
          <w:sz w:val="22"/>
          <w:szCs w:val="22"/>
        </w:rPr>
        <w:t xml:space="preserve">Programme: </w:t>
      </w:r>
      <w:r>
        <w:rPr>
          <w:rFonts w:ascii="Arial" w:cs="Arial" w:eastAsia="Arial" w:hAnsi="Arial"/>
          <w:sz w:val="22"/>
          <w:szCs w:val="22"/>
        </w:rPr>
        <w:t xml:space="preserve">M.Tech, IIT Kharagpur</w:t>
      </w:r>
    </w:p>
    <w:p>
      <w:pPr>
        <w:spacing w:after="120" w:before="0" w:line="276"/>
        <w:jc w:val="left"/>
      </w:pPr>
      <w:r>
        <w:rPr>
          <w:rFonts w:ascii="Arial" w:cs="Arial" w:eastAsia="Arial" w:hAnsi="Arial"/>
          <w:b/>
          <w:bCs/>
          <w:sz w:val="22"/>
          <w:szCs w:val="22"/>
        </w:rPr>
        <w:t xml:space="preserve">Semester: </w:t>
      </w:r>
      <w:r>
        <w:rPr>
          <w:rFonts w:ascii="Arial" w:cs="Arial" w:eastAsia="Arial" w:hAnsi="Arial"/>
          <w:sz w:val="22"/>
          <w:szCs w:val="22"/>
        </w:rPr>
        <w:t xml:space="preserve">10 (Final Semester)</w:t>
      </w:r>
    </w:p>
    <w:p>
      <w:pPr>
        <w:spacing w:after="120" w:before="0" w:line="276"/>
        <w:jc w:val="left"/>
      </w:pPr>
      <w:r>
        <w:rPr>
          <w:rFonts w:ascii="Arial" w:cs="Arial" w:eastAsia="Arial" w:hAnsi="Arial"/>
          <w:b/>
          <w:bCs/>
          <w:sz w:val="22"/>
          <w:szCs w:val="22"/>
        </w:rPr>
        <w:t xml:space="preserve">Date: </w:t>
      </w:r>
      <w:r>
        <w:rPr>
          <w:rFonts w:ascii="Arial" w:cs="Arial" w:eastAsia="Arial" w:hAnsi="Arial"/>
          <w:sz w:val="22"/>
          <w:szCs w:val="22"/>
        </w:rPr>
        <w:t xml:space="preserve">April 2026</w:t>
      </w:r>
    </w:p>
    <w:p>
      <w:pPr>
        <w:spacing w:after="120" w:before="0" w:line="276"/>
        <w:jc w:val="left"/>
      </w:pPr>
      <w:r>
        <w:rPr>
          <w:rFonts w:ascii="Arial" w:cs="Arial" w:eastAsia="Arial" w:hAnsi="Arial"/>
          <w:b/>
          <w:bCs/>
          <w:sz w:val="22"/>
          <w:szCs w:val="22"/>
        </w:rPr>
        <w:t xml:space="preserve">Infrastructure: </w:t>
      </w:r>
      <w:r>
        <w:rPr>
          <w:rFonts w:ascii="Arial" w:cs="Arial" w:eastAsia="Arial" w:hAnsi="Arial"/>
          <w:sz w:val="22"/>
          <w:szCs w:val="22"/>
        </w:rPr>
        <w:t xml:space="preserve">NVIDIA H100 80 GB (mtp-server, Ubuntu 24.04)</w:t>
      </w:r>
    </w:p>
    <w:p>
      <w:pPr>
        <w:spacing w:after="120" w:before="0" w:line="276"/>
        <w:jc w:val="left"/>
      </w:pPr>
      <w:r>
        <w:rPr>
          <w:rFonts w:ascii="Arial" w:cs="Arial" w:eastAsia="Arial" w:hAnsi="Arial"/>
          <w:b/>
          <w:bCs/>
          <w:sz w:val="22"/>
          <w:szCs w:val="22"/>
        </w:rPr>
        <w:t xml:space="preserve">Base Model: </w:t>
      </w:r>
      <w:r>
        <w:rPr>
          <w:rFonts w:ascii="Arial" w:cs="Arial" w:eastAsia="Arial" w:hAnsi="Arial"/>
          <w:sz w:val="22"/>
          <w:szCs w:val="22"/>
        </w:rPr>
        <w:t xml:space="preserve">Qwen2.5-3B-Instruct (3 billion parameters)</w:t>
      </w:r>
    </w:p>
    <w:p>
      <w:r>
        <w:br w:type="page"/>
      </w:r>
    </w:p>
    <w:p>
      <w:pPr>
        <w:pStyle w:val="Heading1"/>
      </w:pPr>
      <w:r>
        <w:t xml:space="preserve">1. Introduction</w:t>
      </w:r>
    </w:p>
    <w:p>
      <w:pPr>
        <w:spacing w:after="120" w:before="0" w:line="276"/>
        <w:jc w:val="left"/>
      </w:pPr>
      <w:r>
        <w:rPr>
          <w:rFonts w:ascii="Arial" w:cs="Arial" w:eastAsia="Arial" w:hAnsi="Arial"/>
          <w:sz w:val="22"/>
          <w:szCs w:val="22"/>
        </w:rPr>
        <w:t xml:space="preserve">This report summarises the progress made on the Major Thesis Project, whose objective is to fine-tune a small language model (SLM) to deliver expert-level reasoning in the domain of marine hydrodynamics and ocean engineering. </w:t>
      </w:r>
      <w:r>
        <w:rPr>
          <w:rFonts w:ascii="Arial" w:cs="Arial" w:eastAsia="Arial" w:hAnsi="Arial"/>
          <w:sz w:val="22"/>
          <w:szCs w:val="22"/>
        </w:rPr>
        <w:t xml:space="preserve">The work encompasses dataset creation from authoritative textbooks, Supervised Fine-Tuning (SFT) of a 3-billion-parameter base model, development of an automated physics verification pipeline, and multiple rounds of Group Relative Policy Optimization (GRPO) reinforcement learning to improve numerical correctness.</w:t>
      </w:r>
    </w:p>
    <w:p>
      <w:pPr>
        <w:spacing w:after="120" w:before="0" w:line="276"/>
        <w:jc w:val="left"/>
      </w:pPr>
      <w:r>
        <w:rPr>
          <w:rFonts w:ascii="Arial" w:cs="Arial" w:eastAsia="Arial" w:hAnsi="Arial"/>
          <w:sz w:val="22"/>
          <w:szCs w:val="22"/>
        </w:rPr>
        <w:t xml:space="preserve">The project addresses a practical gap: while large language models possess broad general knowledge, they lack the specialised numerical reasoning required for marine engineering calculations. </w:t>
      </w:r>
      <w:r>
        <w:rPr>
          <w:rFonts w:ascii="Arial" w:cs="Arial" w:eastAsia="Arial" w:hAnsi="Arial"/>
          <w:sz w:val="22"/>
          <w:szCs w:val="22"/>
        </w:rPr>
        <w:t xml:space="preserve">By combining domain-specific supervised learning with reward-driven reinforcement learning, the project aims to produce a compact model that can perform accurate hydrodynamic computations, answer conceptual questions, and solve multiple-choice problems drawn from graduate-level coursework.</w:t>
      </w:r>
    </w:p>
    <w:p>
      <w:pPr>
        <w:pStyle w:val="Heading1"/>
      </w:pPr>
      <w:r>
        <w:t xml:space="preserve">2. Data Pipeline</w:t>
      </w:r>
    </w:p>
    <w:p>
      <w:pPr>
        <w:pStyle w:val="Heading2"/>
      </w:pPr>
      <w:r>
        <w:t xml:space="preserve">2.1 Source Material and Text Extraction</w:t>
      </w:r>
    </w:p>
    <w:p>
      <w:pPr>
        <w:spacing w:after="120" w:before="0" w:line="276"/>
        <w:jc w:val="left"/>
      </w:pPr>
      <w:r>
        <w:rPr>
          <w:rFonts w:ascii="Arial" w:cs="Arial" w:eastAsia="Arial" w:hAnsi="Arial"/>
          <w:sz w:val="22"/>
          <w:szCs w:val="22"/>
        </w:rPr>
        <w:t xml:space="preserve">Domain text was extracted from two primary references: Newman’s </w:t>
      </w:r>
      <w:r>
        <w:rPr>
          <w:rFonts w:ascii="Arial" w:cs="Arial" w:eastAsia="Arial" w:hAnsi="Arial"/>
          <w:i/>
          <w:iCs/>
          <w:sz w:val="22"/>
          <w:szCs w:val="22"/>
        </w:rPr>
        <w:t xml:space="preserve">Marine Hydrodynamics</w:t>
      </w:r>
      <w:r>
        <w:rPr>
          <w:rFonts w:ascii="Arial" w:cs="Arial" w:eastAsia="Arial" w:hAnsi="Arial"/>
          <w:sz w:val="22"/>
          <w:szCs w:val="22"/>
        </w:rPr>
        <w:t xml:space="preserve"> (digital PDF, yielding approximately 220 text chunks) and Faltinsen’s </w:t>
      </w:r>
      <w:r>
        <w:rPr>
          <w:rFonts w:ascii="Arial" w:cs="Arial" w:eastAsia="Arial" w:hAnsi="Arial"/>
          <w:i/>
          <w:iCs/>
          <w:sz w:val="22"/>
          <w:szCs w:val="22"/>
        </w:rPr>
        <w:t xml:space="preserve">Sea Loads on Ships and Offshore Structures</w:t>
      </w:r>
      <w:r>
        <w:rPr>
          <w:rFonts w:ascii="Arial" w:cs="Arial" w:eastAsia="Arial" w:hAnsi="Arial"/>
          <w:sz w:val="22"/>
          <w:szCs w:val="22"/>
        </w:rPr>
        <w:t xml:space="preserve"> (scanned PDF, processed via Tesseract OCR). Supplementary material included MIT OpenCourseWare lecture notes and examinations from courses 2.20 and 2.29.</w:t>
      </w:r>
    </w:p>
    <w:p>
      <w:pPr>
        <w:pStyle w:val="Heading2"/>
      </w:pPr>
      <w:r>
        <w:t xml:space="preserve">2.2 QA Dataset Generation</w:t>
      </w:r>
    </w:p>
    <w:p>
      <w:pPr>
        <w:spacing w:after="120" w:before="0" w:line="276"/>
        <w:jc w:val="left"/>
      </w:pPr>
      <w:r>
        <w:rPr>
          <w:rFonts w:ascii="Arial" w:cs="Arial" w:eastAsia="Arial" w:hAnsi="Arial"/>
          <w:sz w:val="22"/>
          <w:szCs w:val="22"/>
        </w:rPr>
        <w:t xml:space="preserve">A synthetic question-answer dataset of approximately 1,100 records was generated using LLaMA 3.3 70B via the Groq API. Each record includes a question, a chain-of-thought reasoning trace, a final answer, and a type label (conceptual, numerical, or MCQ). </w:t>
      </w:r>
      <w:r>
        <w:rPr>
          <w:rFonts w:ascii="Arial" w:cs="Arial" w:eastAsia="Arial" w:hAnsi="Arial"/>
          <w:sz w:val="22"/>
          <w:szCs w:val="22"/>
        </w:rPr>
        <w:t xml:space="preserve">The generation pipeline employs API key rotation across multiple Groq credentials to handle rate limiting, and uses checkpoint-based resumption to ensure robustness over extended generation runs.</w:t>
      </w:r>
    </w:p>
    <w:p>
      <w:pPr>
        <w:pStyle w:val="Heading2"/>
      </w:pPr>
      <w:r>
        <w:t xml:space="preserve">2.3 Validation and Cleaning</w:t>
      </w:r>
    </w:p>
    <w:p>
      <w:pPr>
        <w:spacing w:after="120" w:before="0" w:line="276"/>
        <w:jc w:val="left"/>
      </w:pPr>
      <w:r>
        <w:rPr>
          <w:rFonts w:ascii="Arial" w:cs="Arial" w:eastAsia="Arial" w:hAnsi="Arial"/>
          <w:sz w:val="22"/>
          <w:szCs w:val="22"/>
        </w:rPr>
        <w:t xml:space="preserve">Records were filtered to remove refusal responses, context-leakage phrases (e.g., references to “the passage”), and structurally incomplete entries. Minimum word-count thresholds were enforced for both answers and chain-of-thought traces. </w:t>
      </w:r>
      <w:r>
        <w:rPr>
          <w:rFonts w:ascii="Arial" w:cs="Arial" w:eastAsia="Arial" w:hAnsi="Arial"/>
          <w:sz w:val="22"/>
          <w:szCs w:val="22"/>
        </w:rPr>
        <w:t xml:space="preserve">Unicode characters such as the infinity symbol (∞) were replaced with text equivalents to prevent potential numerical instability during BF16 training. The cleaned dataset was split 90/10 into training (976 records) and test (109 records) sets, formatted in HuggingFace ChatML schema.</w:t>
      </w:r>
    </w:p>
    <w:p>
      <w:pPr>
        <w:pStyle w:val="Heading2"/>
      </w:pPr>
      <w:r>
        <w:t xml:space="preserve">2.4 GRPO Dataset Splitting</w:t>
      </w:r>
    </w:p>
    <w:p>
      <w:pPr>
        <w:spacing w:after="120" w:before="0" w:line="276"/>
        <w:jc w:val="left"/>
      </w:pPr>
      <w:r>
        <w:rPr>
          <w:rFonts w:ascii="Arial" w:cs="Arial" w:eastAsia="Arial" w:hAnsi="Arial"/>
          <w:sz w:val="22"/>
          <w:szCs w:val="22"/>
        </w:rPr>
        <w:t xml:space="preserve">A separate, disjoint split was created for the GRPO stage: 2,206 training records and 551 evaluation records, with zero overlap verified programmatically. </w:t>
      </w:r>
      <w:r>
        <w:rPr>
          <w:rFonts w:ascii="Arial" w:cs="Arial" w:eastAsia="Arial" w:hAnsi="Arial"/>
          <w:sz w:val="22"/>
          <w:szCs w:val="22"/>
        </w:rPr>
        <w:t xml:space="preserve">This ensures that all evaluation metrics reported throughout the reinforcement learning stages measure true generalisation performance.</w:t>
      </w:r>
    </w:p>
    <w:p>
      <w:pPr>
        <w:pStyle w:val="Heading1"/>
      </w:pPr>
      <w:r>
        <w:t xml:space="preserve">3. Supervised Fine-Tuning (SFT)</w:t>
      </w:r>
    </w:p>
    <w:p>
      <w:pPr>
        <w:pStyle w:val="Heading2"/>
      </w:pPr>
      <w:r>
        <w:t xml:space="preserve">3.1 Training Configuration</w:t>
      </w:r>
    </w:p>
    <w:p>
      <w:pPr>
        <w:spacing w:after="120" w:before="0" w:line="276"/>
        <w:jc w:val="left"/>
      </w:pPr>
      <w:r>
        <w:rPr>
          <w:rFonts w:ascii="Arial" w:cs="Arial" w:eastAsia="Arial" w:hAnsi="Arial"/>
          <w:sz w:val="22"/>
          <w:szCs w:val="22"/>
        </w:rPr>
        <w:t xml:space="preserve">SFT was performed on the Qwen2.5-3B-Instruct base model using Parameter-Efficient Fine-Tuning (PEFT) with Low-Rank Adaptation (LoRA). </w:t>
      </w:r>
      <w:r>
        <w:rPr>
          <w:rFonts w:ascii="Arial" w:cs="Arial" w:eastAsia="Arial" w:hAnsi="Arial"/>
          <w:sz w:val="22"/>
          <w:szCs w:val="22"/>
        </w:rPr>
        <w:t xml:space="preserve">The LoRA configuration targets the four attention projection matrices (q_proj, k_proj, v_proj, o_proj) with rank r = 16 and scaling factor α = 16, yielding an effective scaling of 1.0. </w:t>
      </w:r>
      <w:r>
        <w:rPr>
          <w:rFonts w:ascii="Arial" w:cs="Arial" w:eastAsia="Arial" w:hAnsi="Arial"/>
          <w:sz w:val="22"/>
          <w:szCs w:val="22"/>
        </w:rPr>
        <w:t xml:space="preserve">Training used the TRL 1.0 SFTTrainer with an effective batch size of 16 (batch = 4, gradient accumulation = 4), learning rate 5×10⁻⁵, and 3 epochs.</w:t>
      </w:r>
    </w:p>
    <w:p>
      <w:pPr>
        <w:pStyle w:val="Heading2"/>
      </w:pPr>
      <w:r>
        <w:t xml:space="preserve">3.2 NaN Gradient Debugging</w:t>
      </w:r>
    </w:p>
    <w:p>
      <w:pPr>
        <w:spacing w:after="120" w:before="0" w:line="276"/>
        <w:jc w:val="left"/>
      </w:pPr>
      <w:r>
        <w:rPr>
          <w:rFonts w:ascii="Arial" w:cs="Arial" w:eastAsia="Arial" w:hAnsi="Arial"/>
          <w:sz w:val="22"/>
          <w:szCs w:val="22"/>
        </w:rPr>
        <w:t xml:space="preserve">The dominant challenge of the SFT phase was a persistent NaN gradient explosion that occurred deterministically at optimizer step 50 under BF16 mixed-precision training. </w:t>
      </w:r>
      <w:r>
        <w:rPr>
          <w:rFonts w:ascii="Arial" w:cs="Arial" w:eastAsia="Arial" w:hAnsi="Arial"/>
          <w:sz w:val="22"/>
          <w:szCs w:val="22"/>
        </w:rPr>
        <w:t xml:space="preserve">Seven hypotheses were systematically tested and eliminated, including tokenizer fragmentation of custom special tokens, random embedding initialisation for new vocabulary entries, optimizer variants, data-content issues, and batch ordering effects.</w:t>
      </w:r>
    </w:p>
    <w:p>
      <w:pPr>
        <w:spacing w:after="120" w:before="0" w:line="276"/>
        <w:jc w:val="left"/>
      </w:pPr>
      <w:r>
        <w:rPr>
          <w:rFonts w:ascii="Arial" w:cs="Arial" w:eastAsia="Arial" w:hAnsi="Arial"/>
          <w:sz w:val="22"/>
          <w:szCs w:val="22"/>
        </w:rPr>
        <w:t xml:space="preserve">The root cause was identified as cumulative rounding errors inherent to BF16’s 7-bit mantissa, amplified by simultaneous updates across multiple LoRA matrices. </w:t>
      </w:r>
      <w:r>
        <w:rPr>
          <w:rFonts w:ascii="Arial" w:cs="Arial" w:eastAsia="Arial" w:hAnsi="Arial"/>
          <w:sz w:val="22"/>
          <w:szCs w:val="22"/>
        </w:rPr>
        <w:t xml:space="preserve">The definitive fix was switching to full Float32 precision, which eliminated NaN entirely across all subsequent runs. As a secondary mitigation, LoRA targets were reduced from 7 modules (attention + FFN) to 4 modules (attention only), and the scaling factor was halved from 2.0 to 1.0.</w:t>
      </w:r>
    </w:p>
    <w:p>
      <w:pPr>
        <w:pStyle w:val="Heading2"/>
      </w:pPr>
      <w:r>
        <w:t xml:space="preserve">3.3 SFT Results</w:t>
      </w:r>
    </w:p>
    <w:p>
      <w:pPr>
        <w:spacing w:after="120" w:before="0" w:line="276"/>
        <w:jc w:val="left"/>
      </w:pPr>
      <w:r>
        <w:rPr>
          <w:rFonts w:ascii="Arial" w:cs="Arial" w:eastAsia="Arial" w:hAnsi="Arial"/>
          <w:sz w:val="22"/>
          <w:szCs w:val="22"/>
        </w:rPr>
        <w:t xml:space="preserve">The final SFT training completed cleanly in 9.4 minutes (3 epochs, 183 optimizer steps) with the following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93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Training</w:t>
            </w:r>
          </w:p>
        </w:tc>
        <w:tc>
          <w:tcPr>
            <w:tcW w:type="dxa" w:w="293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Evaluation</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Loss</w:t>
            </w:r>
          </w:p>
        </w:tc>
        <w:tc>
          <w:tcPr>
            <w:tcW w:type="dxa" w:w="29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0.9729</w:t>
            </w:r>
          </w:p>
        </w:tc>
        <w:tc>
          <w:tcPr>
            <w:tcW w:type="dxa" w:w="29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0.9743</w:t>
            </w:r>
          </w:p>
        </w:tc>
      </w:tr>
      <w:tr>
        <w:tc>
          <w:tcPr>
            <w:tcW w:type="dxa" w:w="3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Mean Token Accuracy</w:t>
            </w:r>
          </w:p>
        </w:tc>
        <w:tc>
          <w:tcPr>
            <w:tcW w:type="dxa" w:w="293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80.4%</w:t>
            </w:r>
          </w:p>
        </w:tc>
        <w:tc>
          <w:tcPr>
            <w:tcW w:type="dxa" w:w="293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77.4%</w:t>
            </w:r>
          </w:p>
        </w:tc>
      </w:tr>
      <w:tr>
        <w:tc>
          <w:tcPr>
            <w:tcW w:type="dxa" w:w="3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Gradient Norm (final)</w:t>
            </w:r>
          </w:p>
        </w:tc>
        <w:tc>
          <w:tcPr>
            <w:tcW w:type="dxa" w:w="29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0.0514</w:t>
            </w:r>
          </w:p>
        </w:tc>
        <w:tc>
          <w:tcPr>
            <w:tcW w:type="dxa" w:w="293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w:t>
            </w:r>
          </w:p>
        </w:tc>
      </w:tr>
    </w:tbl>
    <w:p>
      <w:pPr>
        <w:spacing w:after="60" w:before="60"/>
      </w:pPr>
    </w:p>
    <w:p>
      <w:pPr>
        <w:spacing w:after="120" w:before="0" w:line="276"/>
        <w:jc w:val="left"/>
      </w:pPr>
      <w:r>
        <w:rPr>
          <w:rFonts w:ascii="Arial" w:cs="Arial" w:eastAsia="Arial" w:hAnsi="Arial"/>
          <w:sz w:val="22"/>
          <w:szCs w:val="22"/>
        </w:rPr>
        <w:t xml:space="preserve">While token-level accuracy was high, subsequent evaluation via the physics verifier revealed that numerical correctness on held-out questions was only 14.5%, confirming that the model had learned domain formatting and vocabulary but not reliable numerical computation. This motivated the GRPO reinforcement learning stage.</w:t>
      </w:r>
    </w:p>
    <w:p>
      <w:pPr>
        <w:pStyle w:val="Heading1"/>
      </w:pPr>
      <w:r>
        <w:t xml:space="preserve">4. Evaluation Infrastructure</w:t>
      </w:r>
    </w:p>
    <w:p>
      <w:pPr>
        <w:spacing w:after="120" w:before="0" w:line="276"/>
        <w:jc w:val="left"/>
      </w:pPr>
      <w:r>
        <w:rPr>
          <w:rFonts w:ascii="Arial" w:cs="Arial" w:eastAsia="Arial" w:hAnsi="Arial"/>
          <w:sz w:val="22"/>
          <w:szCs w:val="22"/>
        </w:rPr>
        <w:t xml:space="preserve">A dedicated evaluation pipeline was developed to measure model performance across all question types. The pipeline comprises three components: a baseline evaluator for SFT and GRPO adapters, a physics verifier for automated numerical and MCQ scoring, and an optional LLM judge (Groq-hosted) for conceptual questions.</w:t>
      </w:r>
    </w:p>
    <w:p>
      <w:pPr>
        <w:pStyle w:val="Heading2"/>
      </w:pPr>
      <w:r>
        <w:t xml:space="preserve">4.1 Physics Verifier</w:t>
      </w:r>
    </w:p>
    <w:p>
      <w:pPr>
        <w:spacing w:after="120" w:before="0" w:line="276"/>
        <w:jc w:val="left"/>
      </w:pPr>
      <w:r>
        <w:rPr>
          <w:rFonts w:ascii="Arial" w:cs="Arial" w:eastAsia="Arial" w:hAnsi="Arial"/>
          <w:sz w:val="22"/>
          <w:szCs w:val="22"/>
        </w:rPr>
        <w:t xml:space="preserve">The physics verifier implements robust answer extraction for both numerical and MCQ question types. For numerical answers, it collects multiple candidate numbers from model output, handles scientific notation and unit-adjacent formatting, and compares against ground truth with configurable tolerance (default 5% relative error). </w:t>
      </w:r>
      <w:r>
        <w:rPr>
          <w:rFonts w:ascii="Arial" w:cs="Arial" w:eastAsia="Arial" w:hAnsi="Arial"/>
          <w:sz w:val="22"/>
          <w:szCs w:val="22"/>
        </w:rPr>
        <w:t xml:space="preserve">For MCQ answers, a hardened letter-extraction routine recognises common output formats (e.g., “Answer: B”, “Correct option is (C)”, boxed notation) to prevent the inflated scores previously caused by naive substring matching.</w:t>
      </w:r>
    </w:p>
    <w:p>
      <w:pPr>
        <w:pStyle w:val="Heading2"/>
      </w:pPr>
      <w:r>
        <w:t xml:space="preserve">4.2 Graded Numerical Scoring</w:t>
      </w:r>
    </w:p>
    <w:p>
      <w:pPr>
        <w:spacing w:after="120" w:before="0" w:line="276"/>
        <w:jc w:val="left"/>
      </w:pPr>
      <w:r>
        <w:rPr>
          <w:rFonts w:ascii="Arial" w:cs="Arial" w:eastAsia="Arial" w:hAnsi="Arial"/>
          <w:sz w:val="22"/>
          <w:szCs w:val="22"/>
        </w:rPr>
        <w:t xml:space="preserve">From GRPO Run 2 onwards, a graded partial-credit scheme was introduced alongside the binary pass/fail metric. Predictions within 5% relative error receive full credit (1.0), tapering through 0.7 at 10%, 0.4 at 25%, and 0.15 at 50%, with zero credit beyond 50% error. </w:t>
      </w:r>
      <w:r>
        <w:rPr>
          <w:rFonts w:ascii="Arial" w:cs="Arial" w:eastAsia="Arial" w:hAnsi="Arial"/>
          <w:sz w:val="22"/>
          <w:szCs w:val="22"/>
        </w:rPr>
        <w:t xml:space="preserve">This graded signal serves dual purpose: it provides richer reward during GRPO training, and it enables finer-grained diagnostic analysis during evaluation.</w:t>
      </w:r>
    </w:p>
    <w:p>
      <w:pPr>
        <w:pStyle w:val="Heading1"/>
      </w:pPr>
      <w:r>
        <w:t xml:space="preserve">5. GRPO Reinforcement Learning</w:t>
      </w:r>
    </w:p>
    <w:p>
      <w:pPr>
        <w:spacing w:after="120" w:before="0" w:line="276"/>
        <w:jc w:val="left"/>
      </w:pPr>
      <w:r>
        <w:rPr>
          <w:rFonts w:ascii="Arial" w:cs="Arial" w:eastAsia="Arial" w:hAnsi="Arial"/>
          <w:sz w:val="22"/>
          <w:szCs w:val="22"/>
        </w:rPr>
        <w:t xml:space="preserve">Group Relative Policy Optimization (GRPO) was applied as a post-SFT reinforcement learning stage to directly optimise the model’s output correctness against the physics verifier reward signal. </w:t>
      </w:r>
      <w:r>
        <w:rPr>
          <w:rFonts w:ascii="Arial" w:cs="Arial" w:eastAsia="Arial" w:hAnsi="Arial"/>
          <w:sz w:val="22"/>
          <w:szCs w:val="22"/>
        </w:rPr>
        <w:t xml:space="preserve">GRPO generates K completions (rollouts) per prompt, scores each with a reward function, computes group-relative advantages, and updates the policy via clipped policy-gradient objectives. Three training runs were completed, each building on lessons from the previous.</w:t>
      </w:r>
    </w:p>
    <w:p>
      <w:pPr>
        <w:pStyle w:val="Heading2"/>
      </w:pPr>
      <w:r>
        <w:t xml:space="preserve">5.1 Adapter Initialisation</w:t>
      </w:r>
    </w:p>
    <w:p>
      <w:pPr>
        <w:spacing w:after="120" w:before="0" w:line="276"/>
        <w:jc w:val="left"/>
      </w:pPr>
      <w:r>
        <w:rPr>
          <w:rFonts w:ascii="Arial" w:cs="Arial" w:eastAsia="Arial" w:hAnsi="Arial"/>
          <w:sz w:val="22"/>
          <w:szCs w:val="22"/>
        </w:rPr>
        <w:t xml:space="preserve">GRPO training does not start from the pretrained base model. Instead, the SFT LoRA adapter (checkpoint-183) is first merged into the base weights via merge_and_unload(), and a fresh LoRA adapter with identical architecture is then applied for GRPO optimisation. </w:t>
      </w:r>
      <w:r>
        <w:rPr>
          <w:rFonts w:ascii="Arial" w:cs="Arial" w:eastAsia="Arial" w:hAnsi="Arial"/>
          <w:sz w:val="22"/>
          <w:szCs w:val="22"/>
        </w:rPr>
        <w:t xml:space="preserve">This ensures that the reinforcement learning stage builds upon the domain knowledge acquired during SFT.</w:t>
      </w:r>
    </w:p>
    <w:p>
      <w:pPr>
        <w:pStyle w:val="Heading2"/>
      </w:pPr>
      <w:r>
        <w:t xml:space="preserve">5.2 Reward Function Design</w:t>
      </w:r>
    </w:p>
    <w:p>
      <w:pPr>
        <w:spacing w:after="120" w:before="0" w:line="276"/>
        <w:jc w:val="left"/>
      </w:pPr>
      <w:r>
        <w:rPr>
          <w:rFonts w:ascii="Arial" w:cs="Arial" w:eastAsia="Arial" w:hAnsi="Arial"/>
          <w:sz w:val="22"/>
          <w:szCs w:val="22"/>
        </w:rPr>
        <w:t xml:space="preserve">The reward function combines two components. The </w:t>
      </w:r>
      <w:r>
        <w:rPr>
          <w:rFonts w:ascii="Arial" w:cs="Arial" w:eastAsia="Arial" w:hAnsi="Arial"/>
          <w:b/>
          <w:bCs/>
          <w:sz w:val="22"/>
          <w:szCs w:val="22"/>
        </w:rPr>
        <w:t xml:space="preserve">correctness reward</w:t>
      </w:r>
      <w:r>
        <w:rPr>
          <w:rFonts w:ascii="Arial" w:cs="Arial" w:eastAsia="Arial" w:hAnsi="Arial"/>
          <w:sz w:val="22"/>
          <w:szCs w:val="22"/>
        </w:rPr>
        <w:t xml:space="preserve"> is binary for MCQ (exact letter match) and graded for numerical questions (tiered partial credit based on relative error). The </w:t>
      </w:r>
      <w:r>
        <w:rPr>
          <w:rFonts w:ascii="Arial" w:cs="Arial" w:eastAsia="Arial" w:hAnsi="Arial"/>
          <w:b/>
          <w:bCs/>
          <w:sz w:val="22"/>
          <w:szCs w:val="22"/>
        </w:rPr>
        <w:t xml:space="preserve">format reward</w:t>
      </w:r>
      <w:r>
        <w:rPr>
          <w:rFonts w:ascii="Arial" w:cs="Arial" w:eastAsia="Arial" w:hAnsi="Arial"/>
          <w:sz w:val="22"/>
          <w:szCs w:val="22"/>
        </w:rPr>
        <w:t xml:space="preserve"> provides continuous signal (0.0–0.2) based on the presence of structured reasoning, a “Final Answer” line, reasonable output length, and numbered steps.</w:t>
      </w:r>
    </w:p>
    <w:p>
      <w:pPr>
        <w:spacing w:after="120" w:before="0" w:line="276"/>
        <w:jc w:val="left"/>
      </w:pPr>
      <w:r>
        <w:rPr>
          <w:rFonts w:ascii="Arial" w:cs="Arial" w:eastAsia="Arial" w:hAnsi="Arial"/>
          <w:sz w:val="22"/>
          <w:szCs w:val="22"/>
        </w:rPr>
        <w:t xml:space="preserve">The format reward was critical for addressing the zero-gradient problem inherent in GRPO: when all K completions within a group receive identical rewards, advantages are zero and no learning occurs. </w:t>
      </w:r>
      <w:r>
        <w:rPr>
          <w:rFonts w:ascii="Arial" w:cs="Arial" w:eastAsia="Arial" w:hAnsi="Arial"/>
          <w:sz w:val="22"/>
          <w:szCs w:val="22"/>
        </w:rPr>
        <w:t xml:space="preserve">The continuous format signal guarantees non-zero intra-group variance even when all completions share the same correctness outcome.</w:t>
      </w:r>
    </w:p>
    <w:p>
      <w:pPr>
        <w:pStyle w:val="Heading2"/>
      </w:pPr>
      <w:r>
        <w:t xml:space="preserve">5.3 Key Debugging: Zero-Gradient and Truncation Issues</w:t>
      </w:r>
    </w:p>
    <w:p>
      <w:pPr>
        <w:spacing w:after="120" w:before="0" w:line="276"/>
        <w:jc w:val="left"/>
      </w:pPr>
      <w:r>
        <w:rPr>
          <w:rFonts w:ascii="Arial" w:cs="Arial" w:eastAsia="Arial" w:hAnsi="Arial"/>
          <w:sz w:val="22"/>
          <w:szCs w:val="22"/>
        </w:rPr>
        <w:t xml:space="preserve">Two significant technical issues were identified and resolved across the GRPO runs. </w:t>
      </w:r>
      <w:r>
        <w:rPr>
          <w:rFonts w:ascii="Arial" w:cs="Arial" w:eastAsia="Arial" w:hAnsi="Arial"/>
          <w:sz w:val="22"/>
          <w:szCs w:val="22"/>
        </w:rPr>
        <w:t xml:space="preserve">First, the zero-gradient problem in Run 1 was caused by uniform rewards within generation groups under near-greedy sampling. This was resolved through a combination of increased group size (K = 8), proper sampling temperature (0.8), and the non-binary format reward.</w:t>
      </w:r>
    </w:p>
    <w:p>
      <w:pPr>
        <w:spacing w:after="120" w:before="0" w:line="276"/>
        <w:jc w:val="left"/>
      </w:pPr>
      <w:r>
        <w:rPr>
          <w:rFonts w:ascii="Arial" w:cs="Arial" w:eastAsia="Arial" w:hAnsi="Arial"/>
          <w:sz w:val="22"/>
          <w:szCs w:val="22"/>
        </w:rPr>
        <w:t xml:space="preserve">Second, a critical truncation bug was discovered in Run 3: the TRL 1.0.0 GRPOConfig does not accept max_new_tokens as a parameter, and the existing fallback code only covered temperature and top_p. </w:t>
      </w:r>
      <w:r>
        <w:rPr>
          <w:rFonts w:ascii="Arial" w:cs="Arial" w:eastAsia="Arial" w:hAnsi="Arial"/>
          <w:sz w:val="22"/>
          <w:szCs w:val="22"/>
        </w:rPr>
        <w:t xml:space="preserve">The model defaulted to a 256-token generation limit, causing 75–95% of completions to be truncated by the end of training. Truncated completions lack the “Final Answer” line required by the verifier, resulting in false zero-rewards that corrupted the numerical learning signal. </w:t>
      </w:r>
      <w:r>
        <w:rPr>
          <w:rFonts w:ascii="Arial" w:cs="Arial" w:eastAsia="Arial" w:hAnsi="Arial"/>
          <w:sz w:val="22"/>
          <w:szCs w:val="22"/>
        </w:rPr>
        <w:t xml:space="preserve">A generation_config fallback was implemented for Run 4 to enforce the intended 1024-token limit.</w:t>
      </w:r>
    </w:p>
    <w:p>
      <w:pPr>
        <w:pStyle w:val="Heading2"/>
      </w:pPr>
      <w:r>
        <w:t xml:space="preserve">5.4 Run-by-Run Configuration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Parameter</w:t>
            </w:r>
          </w:p>
        </w:tc>
        <w:tc>
          <w:tcPr>
            <w:tcW w:type="dxa" w:w="179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Run 1</w:t>
            </w:r>
          </w:p>
        </w:tc>
        <w:tc>
          <w:tcPr>
            <w:tcW w:type="dxa" w:w="179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Run 2</w:t>
            </w:r>
          </w:p>
        </w:tc>
        <w:tc>
          <w:tcPr>
            <w:tcW w:type="dxa" w:w="179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Run 3</w:t>
            </w:r>
          </w:p>
        </w:tc>
        <w:tc>
          <w:tcPr>
            <w:tcW w:type="dxa" w:w="179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Run 4 (Planned)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Epochs</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Learning Rate</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1e-5</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2e-5</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2e-5</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2e-5</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Num. Generations (K)</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8</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Max New Tokens</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768</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512</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256*</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1024</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Numerical Reward</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Binary</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Graded</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Graded</w:t>
            </w:r>
          </w:p>
        </w:tc>
        <w:tc>
          <w:tcPr>
            <w:tcW w:type="dxa" w:w="179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Graded</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Format Reward Cap</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~0.40</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~0.20</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~0.20</w:t>
            </w:r>
          </w:p>
        </w:tc>
        <w:tc>
          <w:tcPr>
            <w:tcW w:type="dxa" w:w="179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~0.20</w:t>
            </w:r>
          </w:p>
        </w:tc>
      </w:tr>
    </w:tbl>
    <w:p>
      <w:pPr>
        <w:spacing w:after="120" w:before="40" w:line="276"/>
        <w:jc w:val="left"/>
      </w:pPr>
      <w:r>
        <w:rPr>
          <w:rFonts w:ascii="Arial" w:cs="Arial" w:eastAsia="Arial" w:hAnsi="Arial"/>
          <w:i/>
          <w:iCs/>
          <w:sz w:val="18"/>
          <w:szCs w:val="18"/>
        </w:rPr>
        <w:t xml:space="preserve">* Run 3 intended 1024 tokens, but defaulted to 256 due to TRL API incompatibility (see Section 5.3).</w:t>
      </w:r>
    </w:p>
    <w:p>
      <w:pPr>
        <w:pStyle w:val="Heading1"/>
      </w:pPr>
      <w:r>
        <w:t xml:space="preserve">6. Cumulative Results</w:t>
      </w:r>
    </w:p>
    <w:p>
      <w:pPr>
        <w:spacing w:after="120" w:before="0" w:line="276"/>
        <w:jc w:val="left"/>
      </w:pPr>
      <w:r>
        <w:rPr>
          <w:rFonts w:ascii="Arial" w:cs="Arial" w:eastAsia="Arial" w:hAnsi="Arial"/>
          <w:sz w:val="22"/>
          <w:szCs w:val="22"/>
        </w:rPr>
        <w:t xml:space="preserve">The table below summarises evaluation accuracy across all training stages on the held-out evaluation set (n = 552 records: 221 numerical, 110 MCQ, 221 conceptual).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000"/>
        <w:gridCol w:w="2760"/>
      </w:tblGrid>
      <w:tr>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Stage</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Numerical Acc.</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MCQ Acc.</w:t>
            </w:r>
          </w:p>
        </w:tc>
        <w:tc>
          <w:tcPr>
            <w:tcW w:type="dxa" w:w="2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Key Contribution</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SFT Baseline</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14.48%</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60.91%</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Domain knowledge, format</w:t>
            </w:r>
          </w:p>
        </w:tc>
      </w:tr>
      <w:tr>
        <w:tc>
          <w:tcPr>
            <w:tcW w:type="dxa" w:w="26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GRPO Run 1</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38.01%</w:t>
            </w:r>
          </w:p>
        </w:tc>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75.45%</w:t>
            </w:r>
          </w:p>
        </w:tc>
        <w:tc>
          <w:tcPr>
            <w:tcW w:type="dxa" w:w="27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RL reward signal, format reward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GRPO Run 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39.37%</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bCs/>
                <w:color w:val="000000"/>
                <w:sz w:val="20"/>
                <w:szCs w:val="20"/>
              </w:rPr>
              <w:t xml:space="preserve">85.45%</w:t>
            </w:r>
          </w:p>
        </w:tc>
        <w:tc>
          <w:tcPr>
            <w:tcW w:type="dxa" w:w="2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Extended training, refined rewards</w:t>
            </w:r>
          </w:p>
        </w:tc>
      </w:tr>
    </w:tbl>
    <w:p>
      <w:pPr>
        <w:spacing w:after="60" w:before="60"/>
      </w:pPr>
    </w:p>
    <w:p>
      <w:pPr>
        <w:pStyle w:val="Heading2"/>
      </w:pPr>
      <w:r>
        <w:t xml:space="preserve">6.1 Analysis of Results</w:t>
      </w:r>
    </w:p>
    <w:p>
      <w:pPr>
        <w:spacing w:after="120" w:before="0" w:line="276"/>
        <w:jc w:val="left"/>
      </w:pPr>
      <w:r>
        <w:rPr>
          <w:rFonts w:ascii="Arial" w:cs="Arial" w:eastAsia="Arial" w:hAnsi="Arial"/>
          <w:sz w:val="22"/>
          <w:szCs w:val="22"/>
        </w:rPr>
        <w:t xml:space="preserve">GRPO training produced substantial improvements over the SFT baseline across both evaluated question types. Numerical accuracy improved from 14.48% to 39.37%, representing a +24.89 percentage-point gain. MCQ accuracy improved from 60.91% to 85.45%, a gain of +24.54 percentage points.</w:t>
      </w:r>
    </w:p>
    <w:p>
      <w:pPr>
        <w:spacing w:after="120" w:before="0" w:line="276"/>
        <w:jc w:val="left"/>
      </w:pPr>
      <w:r>
        <w:rPr>
          <w:rFonts w:ascii="Arial" w:cs="Arial" w:eastAsia="Arial" w:hAnsi="Arial"/>
          <w:sz w:val="22"/>
          <w:szCs w:val="22"/>
        </w:rPr>
        <w:t xml:space="preserve">The progression from Run 1 to Run 3 shows divergent trajectories for the two question types. MCQ accuracy continued to improve significantly (+10 pp from Run 1 to Run 3), while numerical accuracy plateaued (+1.4 pp). </w:t>
      </w:r>
      <w:r>
        <w:rPr>
          <w:rFonts w:ascii="Arial" w:cs="Arial" w:eastAsia="Arial" w:hAnsi="Arial"/>
          <w:sz w:val="22"/>
          <w:szCs w:val="22"/>
        </w:rPr>
        <w:t xml:space="preserve">This stagnation is attributed to the truncation bug identified in Section 5.3: with 75–95% of training completions truncated at 256 tokens, the model received corrupted reward signals for numerical questions, which typically require longer chain-of-thought reasoning than MCQ items.</w:t>
      </w:r>
    </w:p>
    <w:p>
      <w:pPr>
        <w:pStyle w:val="Heading2"/>
      </w:pPr>
      <w:r>
        <w:t xml:space="preserve">6.2 Numerical Error Distribution</w:t>
      </w:r>
    </w:p>
    <w:p>
      <w:pPr>
        <w:spacing w:after="120" w:before="0" w:line="276"/>
        <w:jc w:val="left"/>
      </w:pPr>
      <w:r>
        <w:rPr>
          <w:rFonts w:ascii="Arial" w:cs="Arial" w:eastAsia="Arial" w:hAnsi="Arial"/>
          <w:sz w:val="22"/>
          <w:szCs w:val="22"/>
        </w:rPr>
        <w:t xml:space="preserve">Graded diagnostic analysis of numerical predictions in Run 3 reveals a bimodal distribution: 19.5% of predictions fall within 5% relative error (binary pass), while 68.8% are completely wrong (&gt;50% error or no extracted number). </w:t>
      </w:r>
      <w:r>
        <w:rPr>
          <w:rFonts w:ascii="Arial" w:cs="Arial" w:eastAsia="Arial" w:hAnsi="Arial"/>
          <w:sz w:val="22"/>
          <w:szCs w:val="22"/>
        </w:rPr>
        <w:t xml:space="preserve">Only 11.8% of predictions occupy the intermediate range. This bimodality suggests that failures stem from incorrect formula selection or conceptual errors rather than arithmetic imprecision, and that further gains are likely to come from improving the model’s formula reasoning rather than fine-tuning numerical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Error Bucket</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Count</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Percentage</w:t>
            </w:r>
          </w:p>
        </w:tc>
        <w:tc>
          <w:tcPr>
            <w:tcW w:type="dxa" w:w="1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Graded Score</w:t>
            </w:r>
          </w:p>
        </w:tc>
        <w:tc>
          <w:tcPr>
            <w:tcW w:type="dxa" w:w="234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Interpretation</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 (Exact)</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43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19.5%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Binary pass</w:t>
            </w:r>
          </w:p>
        </w:tc>
      </w:tr>
      <w:tr>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≤10%</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0.7</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Near miss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≤25%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0.4</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Reasonable</w:t>
            </w:r>
          </w:p>
        </w:tc>
      </w:tr>
      <w:tr>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≤50%</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21</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9.5%</w:t>
            </w:r>
          </w:p>
        </w:tc>
        <w:tc>
          <w:tcPr>
            <w:tcW w:type="dxa" w:w="1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0.15</w:t>
            </w:r>
          </w:p>
        </w:tc>
        <w:tc>
          <w:tcPr>
            <w:tcW w:type="dxa" w:w="234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Right ballpark</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&gt;50% / No match</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152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68.8%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color w:val="000000"/>
                <w:sz w:val="20"/>
                <w:szCs w:val="20"/>
              </w:rPr>
              <w:t xml:space="preserve">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val="false"/>
                <w:bCs w:val="false"/>
                <w:color w:val="000000"/>
                <w:sz w:val="20"/>
                <w:szCs w:val="20"/>
              </w:rPr>
              <w:t xml:space="preserve">Incorrect</w:t>
            </w:r>
          </w:p>
        </w:tc>
      </w:tr>
    </w:tbl>
    <w:p>
      <w:r>
        <w:br w:type="page"/>
      </w:r>
    </w:p>
    <w:p>
      <w:pPr>
        <w:pStyle w:val="Heading1"/>
      </w:pPr>
      <w:r>
        <w:t xml:space="preserve">7. Future Work</w:t>
      </w:r>
    </w:p>
    <w:p>
      <w:pPr>
        <w:pStyle w:val="Heading2"/>
      </w:pPr>
      <w:r>
        <w:t xml:space="preserve">7.1 GRPO Run 4: Truncation Fix</w:t>
      </w:r>
    </w:p>
    <w:p>
      <w:pPr>
        <w:spacing w:after="120" w:before="0" w:line="276"/>
        <w:jc w:val="left"/>
      </w:pPr>
      <w:r>
        <w:rPr>
          <w:rFonts w:ascii="Arial" w:cs="Arial" w:eastAsia="Arial" w:hAnsi="Arial"/>
          <w:sz w:val="22"/>
          <w:szCs w:val="22"/>
        </w:rPr>
        <w:t xml:space="preserve">The immediate next step is Run 4, which applies the max_new_tokens generation-config fallback to enforce a 1024-token generation limit during training rollouts. </w:t>
      </w:r>
      <w:r>
        <w:rPr>
          <w:rFonts w:ascii="Arial" w:cs="Arial" w:eastAsia="Arial" w:hAnsi="Arial"/>
          <w:sz w:val="22"/>
          <w:szCs w:val="22"/>
        </w:rPr>
        <w:t xml:space="preserve">With truncation eliminated, the graded numerical reward will operate on complete model outputs, and numerical accuracy is expected to improve substantially. </w:t>
      </w:r>
      <w:r>
        <w:rPr>
          <w:rFonts w:ascii="Arial" w:cs="Arial" w:eastAsia="Arial" w:hAnsi="Arial"/>
          <w:sz w:val="22"/>
          <w:szCs w:val="22"/>
        </w:rPr>
        <w:t xml:space="preserve">Early training logs will be monitored to confirm that the clipped-completion ratio remains below 30% (compared to 75–95% in Run 3).</w:t>
      </w:r>
    </w:p>
    <w:p>
      <w:pPr>
        <w:pStyle w:val="Heading2"/>
      </w:pPr>
      <w:r>
        <w:t xml:space="preserve">7.2 Conceptual Question Evaluation</w:t>
      </w:r>
    </w:p>
    <w:p>
      <w:pPr>
        <w:spacing w:after="120" w:before="0" w:line="276"/>
        <w:jc w:val="left"/>
      </w:pPr>
      <w:r>
        <w:rPr>
          <w:rFonts w:ascii="Arial" w:cs="Arial" w:eastAsia="Arial" w:hAnsi="Arial"/>
          <w:sz w:val="22"/>
          <w:szCs w:val="22"/>
        </w:rPr>
        <w:t xml:space="preserve">All runs to date have excluded conceptual questions from evaluation scoring. Enabling the LLM-as-judge evaluation (via the Groq API) will provide a complete picture of model capability. </w:t>
      </w:r>
      <w:r>
        <w:rPr>
          <w:rFonts w:ascii="Arial" w:cs="Arial" w:eastAsia="Arial" w:hAnsi="Arial"/>
          <w:sz w:val="22"/>
          <w:szCs w:val="22"/>
        </w:rPr>
        <w:t xml:space="preserve">Rate-limiting constraints with the Groq API need to be addressed, potentially through batched evaluation or alternative judge endpoints.</w:t>
      </w:r>
    </w:p>
    <w:p>
      <w:pPr>
        <w:pStyle w:val="Heading2"/>
      </w:pPr>
      <w:r>
        <w:t xml:space="preserve">7.3 Additional Directions</w:t>
      </w:r>
    </w:p>
    <w:p>
      <w:pPr>
        <w:spacing w:after="120" w:before="0" w:line="276"/>
        <w:jc w:val="left"/>
      </w:pPr>
      <w:r>
        <w:rPr>
          <w:rFonts w:ascii="Arial" w:cs="Arial" w:eastAsia="Arial" w:hAnsi="Arial"/>
          <w:sz w:val="22"/>
          <w:szCs w:val="22"/>
        </w:rPr>
        <w:t xml:space="preserve">Further avenues for improvement include curriculum-based training (ordering prompts by difficulty), reward shaping optimisation (the current format-reward weights are hand-tuned), multi-epoch GRPO with learning-rate scheduling, and completion logging analysis to understand training dynamics at a per-example level. </w:t>
      </w:r>
      <w:r>
        <w:rPr>
          <w:rFonts w:ascii="Arial" w:cs="Arial" w:eastAsia="Arial" w:hAnsi="Arial"/>
          <w:sz w:val="22"/>
          <w:szCs w:val="22"/>
        </w:rPr>
        <w:t xml:space="preserve">The bimodal error distribution also suggests that targeted augmentation of the training set with more numerically diverse problems could help close the gap on formula-selection errors.</w:t>
      </w:r>
    </w:p>
    <w:p>
      <w:pPr>
        <w:pStyle w:val="Heading1"/>
      </w:pPr>
      <w:r>
        <w:t xml:space="preserve">8. Conclusion</w:t>
      </w:r>
    </w:p>
    <w:p>
      <w:pPr>
        <w:spacing w:after="120" w:before="0" w:line="276"/>
        <w:jc w:val="left"/>
      </w:pPr>
      <w:r>
        <w:rPr>
          <w:rFonts w:ascii="Arial" w:cs="Arial" w:eastAsia="Arial" w:hAnsi="Arial"/>
          <w:sz w:val="22"/>
          <w:szCs w:val="22"/>
        </w:rPr>
        <w:t xml:space="preserve">This project demonstrates a viable pipeline for specialising a small language model in a technical engineering domain through a combination of supervised fine-tuning and reinforcement learning. </w:t>
      </w:r>
      <w:r>
        <w:rPr>
          <w:rFonts w:ascii="Arial" w:cs="Arial" w:eastAsia="Arial" w:hAnsi="Arial"/>
          <w:sz w:val="22"/>
          <w:szCs w:val="22"/>
        </w:rPr>
        <w:t xml:space="preserve">Starting from a general-purpose 3B-parameter model with no marine hydrodynamics knowledge, the SFT stage established domain vocabulary and reasoning patterns, while three rounds of GRPO training improved numerical accuracy from 14.5% to 39.4% and MCQ accuracy from 60.9% to 85.5%. </w:t>
      </w:r>
      <w:r>
        <w:rPr>
          <w:rFonts w:ascii="Arial" w:cs="Arial" w:eastAsia="Arial" w:hAnsi="Arial"/>
          <w:sz w:val="22"/>
          <w:szCs w:val="22"/>
        </w:rPr>
        <w:t xml:space="preserve">Critical debugging contributions—including the BF16 NaN resolution, the GRPO zero-gradient fix, and the discovery of the TRL truncation bug—were essential to achieving these results and are documented for reproducibility. </w:t>
      </w:r>
      <w:r>
        <w:rPr>
          <w:rFonts w:ascii="Arial" w:cs="Arial" w:eastAsia="Arial" w:hAnsi="Arial"/>
          <w:sz w:val="22"/>
          <w:szCs w:val="22"/>
        </w:rPr>
        <w:t xml:space="preserve">With the truncation issue now resolved, Run 4 is expected to deliver further gains in numerical correctness.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200"/>
    </w:pPr>
    <w:r>
      <w:rPr>
        <w:rFonts w:ascii="Arial" w:cs="Arial" w:eastAsia="Arial" w:hAnsi="Arial"/>
        <w:i/>
        <w:iCs/>
        <w:color w:val="888888"/>
        <w:sz w:val="16"/>
        <w:szCs w:val="16"/>
      </w:rPr>
      <w:t xml:space="preserve">MTP Progress Report — Marine Hydrodynamics SLM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2026-04-13T12:47:23.702Z</dcterms:created>
  <dcterms:modified xsi:type="dcterms:W3CDTF">2026-04-13T12:47:23.702Z</dcterms:modified>
</cp:coreProperties>
</file>

<file path=docProps/custom.xml><?xml version="1.0" encoding="utf-8"?>
<Properties xmlns="http://schemas.openxmlformats.org/officeDocument/2006/custom-properties" xmlns:vt="http://schemas.openxmlformats.org/officeDocument/2006/docPropsVTypes"/>
</file>