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13D" w:rsidRDefault="0040713D">
      <w:r>
        <w:rPr>
          <w:noProof/>
        </w:rPr>
        <w:drawing>
          <wp:inline distT="0" distB="0" distL="0" distR="0">
            <wp:extent cx="5956300" cy="2738243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BR10 Index (GERMANY GOVT BND 1 2023-11-05 21-41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01" cy="2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3D" w:rsidRDefault="0040713D" w:rsidP="0040713D">
      <w:r>
        <w:t>Correlating yields for US, GB, JPY, GER for 10yr Treasury Bonds, (relative currency):</w:t>
      </w:r>
    </w:p>
    <w:p w:rsidR="0040713D" w:rsidRDefault="0040713D" w:rsidP="0040713D">
      <w:pPr>
        <w:pStyle w:val="ListParagraph"/>
        <w:numPr>
          <w:ilvl w:val="0"/>
          <w:numId w:val="2"/>
        </w:numPr>
      </w:pPr>
      <w:r>
        <w:t>Ideas:</w:t>
      </w:r>
    </w:p>
    <w:p w:rsidR="0040713D" w:rsidRDefault="0040713D" w:rsidP="0040713D">
      <w:pPr>
        <w:pStyle w:val="ListParagraph"/>
        <w:numPr>
          <w:ilvl w:val="1"/>
          <w:numId w:val="2"/>
        </w:numPr>
      </w:pPr>
      <w:r>
        <w:t>Take look at the other G7 countries/ other countries around this range of GDP/geopolitical environment</w:t>
      </w:r>
    </w:p>
    <w:p w:rsidR="000E5A34" w:rsidRDefault="000E5A34" w:rsidP="000E5A34"/>
    <w:p w:rsidR="0040713D" w:rsidRDefault="0040713D" w:rsidP="0040713D">
      <w:r>
        <w:t>Correlating yields for Bloomberg’s gov bond indices by regions:</w:t>
      </w:r>
    </w:p>
    <w:p w:rsidR="0040713D" w:rsidRDefault="0040713D" w:rsidP="0040713D">
      <w:r>
        <w:t>LEGATRUU – Global Aggregate</w:t>
      </w:r>
    </w:p>
    <w:p w:rsidR="0040713D" w:rsidRDefault="0040713D" w:rsidP="0040713D">
      <w:r>
        <w:t>LBUSTRUU – US Aggregate</w:t>
      </w:r>
    </w:p>
    <w:p w:rsidR="0040713D" w:rsidRDefault="0040713D" w:rsidP="0040713D">
      <w:r>
        <w:t>LAPCTRJU – Asian Pacific Aggregate</w:t>
      </w:r>
    </w:p>
    <w:p w:rsidR="0040713D" w:rsidRDefault="0040713D" w:rsidP="0040713D">
      <w:r>
        <w:t>LP06TREU – Pan Euro Aggregate</w:t>
      </w:r>
    </w:p>
    <w:p w:rsidR="0040713D" w:rsidRDefault="0040713D" w:rsidP="0040713D">
      <w:r>
        <w:t>EMUSTRUU – EM USD Aggregate</w:t>
      </w:r>
    </w:p>
    <w:p w:rsidR="0040713D" w:rsidRDefault="0040713D" w:rsidP="0040713D">
      <w:r>
        <w:rPr>
          <w:noProof/>
        </w:rPr>
        <w:lastRenderedPageBreak/>
        <w:drawing>
          <wp:inline distT="0" distB="0" distL="0" distR="0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GATRUU Index (Bloomberg Global 2023-11-05 21-49-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3D" w:rsidRDefault="0040713D" w:rsidP="0040713D"/>
    <w:p w:rsidR="0040713D" w:rsidRPr="0040713D" w:rsidRDefault="0040713D" w:rsidP="0040713D">
      <w:pPr>
        <w:rPr>
          <w:b/>
        </w:rPr>
      </w:pPr>
      <w:r w:rsidRPr="0040713D">
        <w:rPr>
          <w:b/>
        </w:rPr>
        <w:t>Note:</w:t>
      </w:r>
    </w:p>
    <w:p w:rsidR="0040713D" w:rsidRDefault="0040713D" w:rsidP="0040713D">
      <w:r>
        <w:t>Bloomberg breaks down bond data as follows:</w:t>
      </w:r>
    </w:p>
    <w:p w:rsidR="0040713D" w:rsidRDefault="0040713D" w:rsidP="0040713D">
      <w:bookmarkStart w:id="0" w:name="_GoBack"/>
      <w:r>
        <w:rPr>
          <w:noProof/>
        </w:rPr>
        <w:drawing>
          <wp:inline distT="0" distB="0" distL="0" distR="0" wp14:anchorId="17C74F74" wp14:editId="79DE6EB7">
            <wp:extent cx="2419903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079" cy="27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0713D" w:rsidRDefault="0040713D" w:rsidP="0040713D">
      <w:pPr>
        <w:pStyle w:val="ListParagraph"/>
        <w:numPr>
          <w:ilvl w:val="0"/>
          <w:numId w:val="2"/>
        </w:numPr>
      </w:pPr>
      <w:r>
        <w:t xml:space="preserve">Could go into the intraday, </w:t>
      </w:r>
      <w:proofErr w:type="gramStart"/>
      <w:r>
        <w:t>1 minute</w:t>
      </w:r>
      <w:proofErr w:type="gramEnd"/>
      <w:r>
        <w:t xml:space="preserve"> tick rate for time series </w:t>
      </w:r>
    </w:p>
    <w:p w:rsidR="000E5A34" w:rsidRDefault="000E5A34" w:rsidP="000E5A34">
      <w:pPr>
        <w:rPr>
          <w:b/>
        </w:rPr>
      </w:pPr>
      <w:r>
        <w:rPr>
          <w:b/>
        </w:rPr>
        <w:t>NOTE:</w:t>
      </w:r>
    </w:p>
    <w:p w:rsidR="000E5A34" w:rsidRDefault="000E5A34" w:rsidP="000E5A34">
      <w:pPr>
        <w:pStyle w:val="ListParagraph"/>
        <w:numPr>
          <w:ilvl w:val="0"/>
          <w:numId w:val="2"/>
        </w:numPr>
      </w:pPr>
      <w:r>
        <w:t>This is yield and not price, a measure of return an investor can expect from holding bond to maturity</w:t>
      </w:r>
    </w:p>
    <w:p w:rsidR="000E5A34" w:rsidRPr="000E5A34" w:rsidRDefault="000E5A34" w:rsidP="000E5A34">
      <w:pPr>
        <w:pStyle w:val="ListParagraph"/>
        <w:numPr>
          <w:ilvl w:val="0"/>
          <w:numId w:val="2"/>
        </w:numPr>
        <w:rPr>
          <w:b/>
        </w:rPr>
      </w:pPr>
      <w:r w:rsidRPr="000E5A34">
        <w:rPr>
          <w:b/>
        </w:rPr>
        <w:t>How does order of integration, ARIMA, and stationarity play a role?????????</w:t>
      </w:r>
    </w:p>
    <w:sectPr w:rsidR="000E5A34" w:rsidRPr="000E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273"/>
    <w:multiLevelType w:val="hybridMultilevel"/>
    <w:tmpl w:val="4C3633E6"/>
    <w:lvl w:ilvl="0" w:tplc="CF8CA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35D72"/>
    <w:multiLevelType w:val="hybridMultilevel"/>
    <w:tmpl w:val="C61A8600"/>
    <w:lvl w:ilvl="0" w:tplc="C62E8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D3061"/>
    <w:multiLevelType w:val="hybridMultilevel"/>
    <w:tmpl w:val="DAB2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3D"/>
    <w:rsid w:val="000E5A34"/>
    <w:rsid w:val="0040713D"/>
    <w:rsid w:val="007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6A1"/>
  <w15:chartTrackingRefBased/>
  <w15:docId w15:val="{56519685-CCB9-46D2-BDF8-1EA98AC6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</cp:revision>
  <dcterms:created xsi:type="dcterms:W3CDTF">2023-11-06T02:42:00Z</dcterms:created>
  <dcterms:modified xsi:type="dcterms:W3CDTF">2023-11-06T03:21:00Z</dcterms:modified>
</cp:coreProperties>
</file>