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00"/>
      </w:pPr>
      <w:r>
        <w:rPr>
          <w:rFonts w:ascii="Fraunces" w:cs="Fraunces" w:eastAsia="Fraunces" w:hAnsi="Fraunces"/>
          <w:b/>
          <w:bCs/>
          <w:color w:val="C8A96B"/>
          <w:sz w:val="30"/>
          <w:szCs w:val="30"/>
        </w:rPr>
        <w:t xml:space="preserve">TMK Performances</w:t>
      </w:r>
    </w:p>
    <w:p>
      <w:pPr>
        <w:spacing w:after="200"/>
      </w:pPr>
      <w:r>
        <w:rPr>
          <w:rFonts w:ascii="Fraunces" w:cs="Fraunces" w:eastAsia="Fraunces" w:hAnsi="Fraunces"/>
          <w:b/>
          <w:bCs/>
          <w:color w:val="0D2B56"/>
          <w:sz w:val="52"/>
          <w:szCs w:val="52"/>
        </w:rPr>
        <w:t xml:space="preserve">Pratique professionnelle du gestionnaire retraite</w:t>
      </w:r>
    </w:p>
    <w:p>
      <w:pPr>
        <w:pBdr>
          <w:bottom w:val="single" w:color="C8A96B" w:sz="12" w:space="8"/>
        </w:pBdr>
        <w:spacing w:after="360"/>
      </w:pPr>
      <w:r>
        <w:rPr>
          <w:rFonts w:ascii="Fraunces" w:cs="Fraunces" w:eastAsia="Fraunces" w:hAnsi="Fraunces"/>
          <w:color w:val="0F4C81"/>
          <w:sz w:val="34"/>
          <w:szCs w:val="34"/>
        </w:rPr>
        <w:t xml:space="preserve">Journée 5 — Retraite complémentaire, PER et journée de production</w:t>
      </w:r>
    </w:p>
    <w:p>
      <w:pPr>
        <w:spacing w:after="120"/>
      </w:pPr>
      <w:r>
        <w:rPr>
          <w:rFonts w:ascii="Nunito" w:cs="Nunito" w:eastAsia="Nunito" w:hAnsi="Nunito"/>
          <w:b/>
          <w:bCs/>
          <w:color w:val="0D2B56"/>
          <w:sz w:val="30"/>
          <w:szCs w:val="30"/>
        </w:rPr>
        <w:t xml:space="preserve">Book stagiaire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Gestionnaire en assurances — spécialité retraite / santé · Groupe TESSI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Bloc 2 · Module « La pratique professionnelle du gestionnaire retraite » (35 h) · Durée de la journée : 6 h 30 de travail effectif</w:t>
      </w:r>
    </w:p>
    <w:p>
      <w:pPr>
        <w:spacing w:after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BEDEC" w:sz="4"/>
              <w:left w:val="single" w:color="B3261E" w:sz="24"/>
              <w:bottom w:val="single" w:color="FBEDEC" w:sz="4"/>
              <w:right w:val="single" w:color="FBEDEC" w:sz="4"/>
            </w:tcBorders>
            <w:shd w:fill="FBED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unito" w:cs="Nunito" w:eastAsia="Nunito" w:hAnsi="Nunito"/>
                <w:b/>
                <w:bCs/>
                <w:color w:val="B3261E"/>
                <w:sz w:val="17"/>
                <w:szCs w:val="17"/>
              </w:rPr>
              <w:t xml:space="preserve">DOCUMENT FICTIF À USAGE PÉDAGOGIQUE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Les personnes, entreprises et organismes cités sont fictifs. Valeurs Agirc-Arrco : prix d'achat du point 20,1877 € ; valeur de service 1,4587 € depuis le 01/11/2026.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La journée en bref</w:t>
      </w:r>
    </w:p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Objectifs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À l'issue de la journée, vous serez capable de :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calculer des points Agirc-Arrco et une retraite complémentaire, sans tomber dans le piège du taux appelé ;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traiter une demande sur un plan d'épargne retraite : plafond de déduction, déblocage anticipé, pièces ;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prioriser et traiter une corbeille de dossiers variés dans un temps limité ;</w:t>
      </w:r>
    </w:p>
    <w:p>
      <w:pPr>
        <w:pStyle w:val="ListParagraph"/>
        <w:keepLines/>
        <w:numPr>
          <w:ilvl w:val="0"/>
          <w:numId w:val="2"/>
        </w:numPr>
        <w:spacing w:after="60" w:line="264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contrôler le travail d'un collègue et contribuer à une check-list de contrôle.</w:t>
      </w:r>
    </w:p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Déroulé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000"/>
        <w:gridCol w:w="2138"/>
        <w:gridCol w:w="2100"/>
      </w:tblGrid>
      <w:tr>
        <w:trPr>
          <w:cantSplit/>
          <w:tblHeader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Séq.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Modalité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Supports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Ouverture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Présentation du déroulé de la journée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10 min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Plénière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La retraite complémentaire Agirc-Arrco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 h 10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Apport + exercice interactif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PDF Séquences 1-2 (pièce 1) + exercice HTML n°1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 plan d'épargne retraite : traiter les demandes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 h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Apport + dossier DEVOS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PDF Séquences 1-2 (pièces 2 à 4) + exercice HTML n°2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Journée de production : la corbeille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2 h 30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Binômes, temps limité, contrôle croisé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PDF Séquence 3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Amélioration continue : la check-list de contrôle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50 min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Atelier collectif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Book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Synthèse du module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50 min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Exercice interactif + remise du mémo</w:t>
            </w: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Exercice HTML n°3 + mémo du module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3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1D2433"/>
                <w:sz w:val="18"/>
                <w:szCs w:val="18"/>
              </w:rPr>
              <w:t xml:space="preserve">Total temps de travail effectif</w:t>
            </w:r>
          </w:p>
        </w:tc>
        <w:tc>
          <w:tcPr>
            <w:tcW w:type="dxa" w:w="1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1D2433"/>
                <w:sz w:val="18"/>
                <w:szCs w:val="18"/>
              </w:rPr>
              <w:t xml:space="preserve">6 h 30</w:t>
            </w:r>
          </w:p>
        </w:tc>
        <w:tc>
          <w:tcPr>
            <w:tcW w:type="dxa" w:w="21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  <w:tc>
          <w:tcPr>
            <w:tcW w:type="dxa" w:w="21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1 — La retraite complémentaire Agirc-Arrco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1 h 10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Apport (25 min), calcul des points de M. DEVOS (20 min), exercice interactif n°1 (15 min), correction (10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Point</w:t>
            </w:r>
          </w:p>
        </w:tc>
        <w:tc>
          <w:tcPr>
            <w:tcW w:type="dxa" w:w="6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 régime</w:t>
            </w:r>
          </w:p>
        </w:tc>
        <w:tc>
          <w:tcPr>
            <w:tcW w:type="dxa" w:w="6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Régime unique depuis 2019, obligatoire pour les salariés du privé, par points et par répartition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Les tranches</w:t>
            </w:r>
          </w:p>
        </w:tc>
        <w:tc>
          <w:tcPr>
            <w:tcW w:type="dxa" w:w="6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Tranche 1 : salaire jusqu'à 1 PASS · tranche 2 : de 1 à 8 PASS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Taux contractuels (créent des points)</w:t>
            </w:r>
          </w:p>
        </w:tc>
        <w:tc>
          <w:tcPr>
            <w:tcW w:type="dxa" w:w="6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T1 : 6,20 % · T2 : 17,00 %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Taux appelés (payés)</w:t>
            </w:r>
          </w:p>
        </w:tc>
        <w:tc>
          <w:tcPr>
            <w:tcW w:type="dxa" w:w="6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127 % des taux contractuels : T1 : 7,87 % · T2 : 21,59 %. Les 27 % supplémentaires, comme les contributions CEG et CET, ne créent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8"/>
                <w:szCs w:val="18"/>
              </w:rPr>
              <w:t xml:space="preserve">aucun point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Points de l'année</w:t>
            </w:r>
          </w:p>
        </w:tc>
        <w:tc>
          <w:tcPr>
            <w:tcW w:type="dxa" w:w="6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Salaire de la tranche × taux contractuel ÷ prix d'achat du point (20,1877 € en 2025 et 2026)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Pension</w:t>
            </w:r>
          </w:p>
        </w:tc>
        <w:tc>
          <w:tcPr>
            <w:tcW w:type="dxa" w:w="6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Total des points × valeur de service : 1,4386 € jusqu'au 31/10/2026,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8"/>
                <w:szCs w:val="18"/>
              </w:rPr>
              <w:t xml:space="preserve">1,4587 €</w:t>
            </w: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 depuis le 01/11/2026 (+1,4 %)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Points gratuits</w:t>
            </w:r>
          </w:p>
        </w:tc>
        <w:tc>
          <w:tcPr>
            <w:tcW w:type="dxa" w:w="6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Chômage indemnisé, maladie, maternité, invalidité… ouvrent aussi des points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Âge</w:t>
            </w:r>
          </w:p>
        </w:tc>
        <w:tc>
          <w:tcPr>
            <w:tcW w:type="dxa" w:w="6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Versée sans minoration lorsque la retraite de base est attribuée au taux plein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BEDEC" w:sz="4"/>
              <w:left w:val="single" w:color="B3261E" w:sz="24"/>
              <w:bottom w:val="single" w:color="FBEDEC" w:sz="4"/>
              <w:right w:val="single" w:color="FBEDEC" w:sz="4"/>
            </w:tcBorders>
            <w:shd w:fill="FBED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unito" w:cs="Nunito" w:eastAsia="Nunito" w:hAnsi="Nunito"/>
                <w:b/>
                <w:bCs/>
                <w:color w:val="B3261E"/>
                <w:sz w:val="17"/>
                <w:szCs w:val="17"/>
              </w:rPr>
              <w:t xml:space="preserve">LE PIÈGE À ÉVITER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Seule la cotisation au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taux contractuel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 crée des points. Diviser la cotisation réellement payée par le prix d'achat surestime les points de 27 %.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Les points 2025 de M. DEVOS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À partir de son bulletin de décembre 2025 (pièce 1), calculez les points acquis en 2025 sur chaque tranche.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7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Votre résultat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Tranche 1</w:t>
            </w:r>
          </w:p>
        </w:tc>
        <w:tc>
          <w:tcPr>
            <w:tcW w:type="dxa" w:w="7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Tranche 2</w:t>
            </w:r>
          </w:p>
        </w:tc>
        <w:tc>
          <w:tcPr>
            <w:tcW w:type="dxa" w:w="7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Total 2025</w:t>
            </w:r>
          </w:p>
        </w:tc>
        <w:tc>
          <w:tcPr>
            <w:tcW w:type="dxa" w:w="7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 piège</w:t>
            </w:r>
          </w:p>
        </w:tc>
        <w:tc>
          <w:tcPr>
            <w:tcW w:type="dxa" w:w="7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Valeur en rente</w:t>
            </w:r>
          </w:p>
        </w:tc>
        <w:tc>
          <w:tcPr>
            <w:tcW w:type="dxa" w:w="7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</w:tbl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La retraite globale de M. BENALI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M. BENALI totalise 6 850 points à sa date d'effet. Calculez sa retraite complémentaire annuelle, puis sa retraite globale avec la retraite de base calculée en J2.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</w:tcPr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  <w:p>
            <w:pPr>
              <w:pBdr>
                <w:bottom w:val="dotted" w:color="C9D3E3" w:sz="4" w:space="1"/>
              </w:pBdr>
              <w:spacing w:after="0" w:line="420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2 — Le plan d'épargne retraite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1 h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Apport (20 min), dossier DEVOS en binôme (25 min), exercice interactif n°2 (15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Point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Les versements volontaires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Déductibles du revenu imposable, dans la limite de 10 % des revenus d'activité professionnelle de l'année précédente (limités à 8 PASS), avec un minimum de 10 % du PASS. Les plafonds non utilisés des trois années précédentes sont reportables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La sortie à la retraite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Versements volontaires : en capital, en rente, ou en combinant les deux. Versements obligatoires : en rente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 déblocage anticipé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Acquisition de la résidence principale (sauf sommes issues des versements obligatoires) ; accidents de la vie : décès du conjoint ou du partenaire de PACS, invalidité, surendettement, fin des droits au chômage, cessation d'activité non salariée après liquidation judiciaire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Les pièces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Toujours le justificatif de l'événement : pour une résidence principale, acte de vente ou attestation notariale, et engagement d'affectation à la résidence principale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Fraunces" w:cs="Fraunces" w:eastAsia="Fraunces" w:hAnsi="Fraunces"/>
          <w:b/>
          <w:bCs/>
          <w:color w:val="0D2B56"/>
          <w:sz w:val="25"/>
          <w:szCs w:val="25"/>
        </w:rPr>
        <w:t xml:space="preserve">Le dossier de M. DEVOS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À partir des pièces 2 à 4 : quel est le plafond de déduction de M. DEVOS pour 2026 ? Quelle suite donner à sa demande de déblocage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Votre résultat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Plafond de déduction 2026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Versements 2026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Déblocage demandé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Pièces à réclamer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Réponse à M. DEVOS</w:t>
            </w:r>
          </w:p>
        </w:tc>
        <w:tc>
          <w:tcPr>
            <w:tcW w:type="dxa" w:w="7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3 — Journée de production : la corbeille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2 h 30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Priorisation (15 min), traitement (1 h 15), contrôle croisé (30 min), correction collective (30 min) · PDF « Séquence 3 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BF7EF" w:sz="4"/>
              <w:left w:val="single" w:color="C8A96B" w:sz="24"/>
              <w:bottom w:val="single" w:color="FBF7EF" w:sz="4"/>
              <w:right w:val="single" w:color="FBF7EF" w:sz="4"/>
            </w:tcBorders>
            <w:shd w:fill="FBF7E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unito" w:cs="Nunito" w:eastAsia="Nunito" w:hAnsi="Nunito"/>
                <w:b/>
                <w:bCs/>
                <w:color w:val="8A6A2C"/>
                <w:sz w:val="17"/>
                <w:szCs w:val="17"/>
              </w:rPr>
              <w:t xml:space="preserve">LES RÈGLES DU JEU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Classez d'abord les huit dossiers :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1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 = risque de rupture de revenus ou situation de détresse ;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2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 = à traiter dans la journée ; </w:t>
            </w:r>
            <w:r>
              <w:rPr>
                <w:rFonts w:ascii="Nunito" w:cs="Nunito" w:eastAsia="Nunito" w:hAnsi="Nunito"/>
                <w:b/>
                <w:bCs/>
                <w:color w:val="1D2433"/>
                <w:sz w:val="19"/>
                <w:szCs w:val="19"/>
              </w:rPr>
              <w:t xml:space="preserve">3</w:t>
            </w: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 = information ou orientation.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Traitez-les dans l'ordre de priorité. Pour chacun : diagnostic, action, calcul éventuel.</w:t>
            </w:r>
          </w:p>
          <w:p>
            <w:pPr>
              <w:keepNext/>
              <w:keepLines/>
              <w:spacing w:after="60" w:line="264"/>
            </w:pPr>
            <w:r>
              <w:rPr>
                <w:rFonts w:ascii="Nunito" w:cs="Nunito" w:eastAsia="Nunito" w:hAnsi="Nunito"/>
                <w:color w:val="1D2433"/>
                <w:sz w:val="19"/>
                <w:szCs w:val="19"/>
              </w:rPr>
              <w:t xml:space="preserve">Échangez ensuite vos fiches avec votre binôme : il contrôle et signe la case « Visa du contrôleur ».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4 — Amélioration continue : la check-list de contrôle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50 min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Relevé des erreurs de la semaine (15 min), construction collective (25 min), validation (10 min)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À partir des erreurs que vous avez commises ou évitées depuis la J1, construisez avec le groupe la check-list de contrôle d'un dossier de retraite, étape par étape.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7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0D2B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Points de contrôle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Avant d'instruire</w:t>
            </w:r>
          </w:p>
        </w:tc>
        <w:tc>
          <w:tcPr>
            <w:tcW w:type="dxa" w:w="7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Carrière</w:t>
            </w:r>
          </w:p>
        </w:tc>
        <w:tc>
          <w:tcPr>
            <w:tcW w:type="dxa" w:w="7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Calcul</w:t>
            </w:r>
          </w:p>
        </w:tc>
        <w:tc>
          <w:tcPr>
            <w:tcW w:type="dxa" w:w="7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Réversion</w:t>
            </w:r>
          </w:p>
        </w:tc>
        <w:tc>
          <w:tcPr>
            <w:tcW w:type="dxa" w:w="7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Complémentaires</w:t>
            </w:r>
          </w:p>
        </w:tc>
        <w:tc>
          <w:tcPr>
            <w:tcW w:type="dxa" w:w="7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E8F1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Nunito" w:cs="Nunito" w:eastAsia="Nunito" w:hAnsi="Nunito"/>
                <w:color w:val="1D2433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7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8A96B" w:sz="12" w:space="4"/>
        </w:pBdr>
        <w:spacing w:after="160" w:before="120"/>
      </w:pPr>
      <w:r>
        <w:rPr>
          <w:rFonts w:ascii="Fraunces" w:cs="Fraunces" w:eastAsia="Fraunces" w:hAnsi="Fraunces"/>
          <w:b/>
          <w:bCs/>
          <w:color w:val="0D2B56"/>
          <w:sz w:val="32"/>
          <w:szCs w:val="32"/>
        </w:rPr>
        <w:t xml:space="preserve">Séquence 5 — Synthèse du module</w:t>
      </w:r>
    </w:p>
    <w:p>
      <w:pPr>
        <w:keepLines/>
        <w:spacing w:after="100" w:line="276"/>
      </w:pPr>
      <w:r>
        <w:rPr>
          <w:rFonts w:ascii="Nunito" w:cs="Nunito" w:eastAsia="Nunito" w:hAnsi="Nunito"/>
          <w:b/>
          <w:bCs/>
          <w:color w:val="1D2433"/>
          <w:sz w:val="20"/>
          <w:szCs w:val="20"/>
        </w:rPr>
        <w:t xml:space="preserve">Durée : 50 min</w:t>
      </w:r>
      <w:r>
        <w:rPr>
          <w:rFonts w:ascii="Nunito" w:cs="Nunito" w:eastAsia="Nunito" w:hAnsi="Nunito"/>
          <w:color w:val="1D2433"/>
          <w:sz w:val="20"/>
          <w:szCs w:val="20"/>
        </w:rPr>
        <w:t xml:space="preserve"> · Exercice interactif n°3 (25 min), remise et lecture du mémo du module (15 min), bilan (10 min)</w:t>
      </w:r>
    </w:p>
    <w:p>
      <w:pPr>
        <w:keepLines/>
        <w:spacing w:after="100" w:line="276"/>
      </w:pPr>
      <w:r>
        <w:rPr>
          <w:rFonts w:ascii="Nunito" w:cs="Nunito" w:eastAsia="Nunito" w:hAnsi="Nunito"/>
          <w:color w:val="1D2433"/>
          <w:sz w:val="20"/>
          <w:szCs w:val="20"/>
        </w:rPr>
        <w:t xml:space="preserve">Quinze questions qui reprennent les cinq journées. Le mémo du module vous est remis ensuite.</w:t>
      </w:r>
    </w:p>
    <w:sectPr>
      <w:headerReference w:type="default" r:id="rId6"/>
      <w:footerReference w:type="default" r:id="rId7"/>
      <w:pgSz w:w="11906" w:h="16838" w:orient="portrait"/>
      <w:pgMar w:top="1300" w:right="1134" w:bottom="1000" w:left="1134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" w:cs="Nunito" w:eastAsia="Nunito" w:hAnsi="Nunito"/>
        <w:color w:val="555555"/>
        <w:sz w:val="16"/>
        <w:szCs w:val="16"/>
      </w:rPr>
      <w:t xml:space="preserve">TMK Performances - N° Siret : 49841924100027 - Code NAF : 8559A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2B56" w:color="auto" w:val="clear"/>
      <w:tabs>
        <w:tab w:val="right" w:pos="9638"/>
      </w:tabs>
      <w:spacing w:after="0"/>
    </w:pPr>
    <w:r>
      <w:rPr>
        <w:rFonts w:ascii="Fraunces" w:cs="Fraunces" w:eastAsia="Fraunces" w:hAnsi="Fraunces"/>
        <w:b/>
        <w:bCs/>
        <w:color w:val="FFFFFF"/>
        <w:sz w:val="20"/>
        <w:szCs w:val="20"/>
      </w:rPr>
      <w:t xml:space="preserve"> TMK Performances</w:t>
    </w:r>
    <w:r>
      <w:rPr>
        <w:rFonts w:ascii="Nunito" w:cs="Nunito" w:eastAsia="Nunito" w:hAnsi="Nunito"/>
        <w:color w:val="FFFFFF"/>
        <w:sz w:val="16"/>
        <w:szCs w:val="16"/>
      </w:rPr>
      <w:t xml:space="preserve">	Pratique professionnelle du gestionnaire retraite · J5 · Book stagiaire </w:t>
    </w:r>
  </w:p>
  <w:p>
    <w:pPr>
      <w:pBdr>
        <w:top w:val="single" w:color="C8A96B" w:sz="12" w:space="0"/>
      </w:pBdr>
      <w:shd w:fill="B3261E" w:color="auto" w:val="clear"/>
      <w:spacing w:after="120"/>
      <w:jc w:val="center"/>
    </w:pPr>
    <w:r>
      <w:rPr>
        <w:rFonts w:ascii="Nunito" w:cs="Nunito" w:eastAsia="Nunito" w:hAnsi="Nunito"/>
        <w:b/>
        <w:bCs/>
        <w:color w:val="FFFFFF"/>
        <w:sz w:val="14"/>
        <w:szCs w:val="14"/>
      </w:rPr>
      <w:t xml:space="preserve">DOCUMENT FICTIF À USAGE PÉDAGOGIQUE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C8A9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Pratique professionnelle du gestionnaire retraite — J5 — Book stagiaire</dc:title>
  <dc:creator>TMK Performances</dc:creator>
  <cp:lastModifiedBy>Un-named</cp:lastModifiedBy>
  <cp:revision>1</cp:revision>
  <dcterms:created xsi:type="dcterms:W3CDTF">2026-10-21T07:41:24.657Z</dcterms:created>
  <dcterms:modified xsi:type="dcterms:W3CDTF">2026-10-21T07:41:24.657Z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