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400"/>
      </w:pPr>
    </w:p>
    <w:p>
      <w:pPr>
        <w:spacing w:after="200"/>
      </w:pPr>
      <w:r>
        <w:rPr>
          <w:rFonts w:ascii="Fraunces" w:cs="Fraunces" w:eastAsia="Fraunces" w:hAnsi="Fraunces"/>
          <w:b/>
          <w:bCs/>
          <w:color w:val="C8A96B"/>
          <w:sz w:val="30"/>
          <w:szCs w:val="30"/>
        </w:rPr>
        <w:t xml:space="preserve">TMK Performances</w:t>
      </w:r>
    </w:p>
    <w:p>
      <w:pPr>
        <w:spacing w:after="200"/>
      </w:pPr>
      <w:r>
        <w:rPr>
          <w:rFonts w:ascii="Fraunces" w:cs="Fraunces" w:eastAsia="Fraunces" w:hAnsi="Fraunces"/>
          <w:b/>
          <w:bCs/>
          <w:color w:val="0D2B56"/>
          <w:sz w:val="52"/>
          <w:szCs w:val="52"/>
        </w:rPr>
        <w:t xml:space="preserve">Pratique professionnelle du gestionnaire retraite</w:t>
      </w:r>
    </w:p>
    <w:p>
      <w:pPr>
        <w:pBdr>
          <w:bottom w:val="single" w:color="C8A96B" w:sz="12" w:space="8"/>
        </w:pBdr>
        <w:spacing w:after="360"/>
      </w:pPr>
      <w:r>
        <w:rPr>
          <w:rFonts w:ascii="Fraunces" w:cs="Fraunces" w:eastAsia="Fraunces" w:hAnsi="Fraunces"/>
          <w:color w:val="0F4C81"/>
          <w:sz w:val="34"/>
          <w:szCs w:val="34"/>
        </w:rPr>
        <w:t xml:space="preserve">Journée 5 — Retraite complémentaire, PER et journée de production</w:t>
      </w:r>
    </w:p>
    <w:p>
      <w:pPr>
        <w:spacing w:after="120"/>
      </w:pPr>
      <w:r>
        <w:rPr>
          <w:rFonts w:ascii="Nunito" w:cs="Nunito" w:eastAsia="Nunito" w:hAnsi="Nunito"/>
          <w:b/>
          <w:bCs/>
          <w:color w:val="0D2B56"/>
          <w:sz w:val="30"/>
          <w:szCs w:val="30"/>
        </w:rPr>
        <w:t xml:space="preserve">Book stagiaire</w:t>
      </w:r>
    </w:p>
    <w:p>
      <w:pPr>
        <w:keepLines/>
        <w:spacing w:after="100" w:line="276"/>
      </w:pPr>
      <w:r>
        <w:rPr>
          <w:rFonts w:ascii="Nunito" w:cs="Nunito" w:eastAsia="Nunito" w:hAnsi="Nunito"/>
          <w:color w:val="1D2433"/>
          <w:sz w:val="20"/>
          <w:szCs w:val="20"/>
        </w:rPr>
        <w:t xml:space="preserve">Gestionnaire en assurances — spécialité retraite / santé · Groupe TESSI</w:t>
      </w:r>
    </w:p>
    <w:p>
      <w:pPr>
        <w:keepLines/>
        <w:spacing w:after="100" w:line="276"/>
      </w:pPr>
      <w:r>
        <w:rPr>
          <w:rFonts w:ascii="Nunito" w:cs="Nunito" w:eastAsia="Nunito" w:hAnsi="Nunito"/>
          <w:color w:val="1D2433"/>
          <w:sz w:val="20"/>
          <w:szCs w:val="20"/>
        </w:rPr>
        <w:t xml:space="preserve">Bloc 2 · Module « La pratique professionnelle du gestionnaire retraite » (35 h) · Durée de la journée : 6 h 30 de travail effectif</w:t>
      </w:r>
    </w:p>
    <w:p>
      <w:pPr>
        <w:spacing w:after="6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BEDEC" w:sz="4"/>
              <w:left w:val="single" w:color="B3261E" w:sz="24"/>
              <w:bottom w:val="single" w:color="FBEDEC" w:sz="4"/>
              <w:right w:val="single" w:color="FBEDEC" w:sz="4"/>
            </w:tcBorders>
            <w:shd w:fill="FBEDEC" w:color="auto" w:val="clear"/>
            <w:tcMar>
              <w:top w:type="dxa" w:w="100"/>
              <w:left w:type="dxa" w:w="180"/>
              <w:bottom w:type="dxa" w:w="10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Nunito" w:cs="Nunito" w:eastAsia="Nunito" w:hAnsi="Nunito"/>
                <w:b/>
                <w:bCs/>
                <w:color w:val="B3261E"/>
                <w:sz w:val="17"/>
                <w:szCs w:val="17"/>
              </w:rPr>
              <w:t xml:space="preserve">DOCUMENT FICTIF À USAGE PÉDAGOGIQUE</w:t>
            </w:r>
          </w:p>
          <w:p>
            <w:pPr>
              <w:keepNext/>
              <w:keepLines/>
              <w:spacing w:after="60" w:line="264"/>
            </w:pPr>
            <w:r>
              <w:rPr>
                <w:rFonts w:ascii="Nunito" w:cs="Nunito" w:eastAsia="Nunito" w:hAnsi="Nunito"/>
                <w:color w:val="1D2433"/>
                <w:sz w:val="19"/>
                <w:szCs w:val="19"/>
              </w:rPr>
              <w:t xml:space="preserve">Les personnes, entreprises et organismes cités sont fictifs. Valeurs Agirc-Arrco : prix d'achat du point 20,1877 € ; valeur de service 1,4587 € depuis le 01/11/2026.</w:t>
            </w:r>
          </w:p>
        </w:tc>
      </w:tr>
    </w:tbl>
    <w:p>
      <w:r>
        <w:br w:type="page"/>
      </w:r>
    </w:p>
    <w:p>
      <w:pPr>
        <w:pStyle w:val="Heading1"/>
        <w:keepNext/>
        <w:pBdr>
          <w:bottom w:val="single" w:color="C8A96B" w:sz="12" w:space="4"/>
        </w:pBdr>
        <w:spacing w:after="160" w:before="120"/>
      </w:pPr>
      <w:r>
        <w:rPr>
          <w:rFonts w:ascii="Fraunces" w:cs="Fraunces" w:eastAsia="Fraunces" w:hAnsi="Fraunces"/>
          <w:b/>
          <w:bCs/>
          <w:color w:val="0D2B56"/>
          <w:sz w:val="32"/>
          <w:szCs w:val="32"/>
        </w:rPr>
        <w:t xml:space="preserve">La journée en bref</w:t>
      </w:r>
    </w:p>
    <w:p>
      <w:pPr>
        <w:pStyle w:val="Heading2"/>
        <w:keepNext/>
        <w:spacing w:after="100" w:before="240"/>
      </w:pPr>
      <w:r>
        <w:rPr>
          <w:rFonts w:ascii="Fraunces" w:cs="Fraunces" w:eastAsia="Fraunces" w:hAnsi="Fraunces"/>
          <w:b/>
          <w:bCs/>
          <w:color w:val="0D2B56"/>
          <w:sz w:val="25"/>
          <w:szCs w:val="25"/>
        </w:rPr>
        <w:t xml:space="preserve">Objectifs</w:t>
      </w:r>
    </w:p>
    <w:p>
      <w:pPr>
        <w:keepLines/>
        <w:spacing w:after="100" w:line="276"/>
      </w:pPr>
      <w:r>
        <w:rPr>
          <w:rFonts w:ascii="Nunito" w:cs="Nunito" w:eastAsia="Nunito" w:hAnsi="Nunito"/>
          <w:color w:val="1D2433"/>
          <w:sz w:val="20"/>
          <w:szCs w:val="20"/>
        </w:rPr>
        <w:t xml:space="preserve">À l'issue de la journée, vous serez capable de :</w:t>
      </w:r>
    </w:p>
    <w:p>
      <w:pPr>
        <w:pStyle w:val="ListParagraph"/>
        <w:keepLines/>
        <w:numPr>
          <w:ilvl w:val="0"/>
          <w:numId w:val="2"/>
        </w:numPr>
        <w:spacing w:after="60" w:line="264"/>
      </w:pPr>
      <w:r>
        <w:rPr>
          <w:rFonts w:ascii="Nunito" w:cs="Nunito" w:eastAsia="Nunito" w:hAnsi="Nunito"/>
          <w:color w:val="1D2433"/>
          <w:sz w:val="20"/>
          <w:szCs w:val="20"/>
        </w:rPr>
        <w:t xml:space="preserve">calculer des points Agirc-Arrco et une retraite complémentaire, sans tomber dans le piège du taux appelé ;</w:t>
      </w:r>
    </w:p>
    <w:p>
      <w:pPr>
        <w:pStyle w:val="ListParagraph"/>
        <w:keepLines/>
        <w:numPr>
          <w:ilvl w:val="0"/>
          <w:numId w:val="2"/>
        </w:numPr>
        <w:spacing w:after="60" w:line="264"/>
      </w:pPr>
      <w:r>
        <w:rPr>
          <w:rFonts w:ascii="Nunito" w:cs="Nunito" w:eastAsia="Nunito" w:hAnsi="Nunito"/>
          <w:color w:val="1D2433"/>
          <w:sz w:val="20"/>
          <w:szCs w:val="20"/>
        </w:rPr>
        <w:t xml:space="preserve">traiter une demande sur un plan d'épargne retraite : plafond de déduction, déblocage anticipé, pièces ;</w:t>
      </w:r>
    </w:p>
    <w:p>
      <w:pPr>
        <w:pStyle w:val="ListParagraph"/>
        <w:keepLines/>
        <w:numPr>
          <w:ilvl w:val="0"/>
          <w:numId w:val="2"/>
        </w:numPr>
        <w:spacing w:after="60" w:line="264"/>
      </w:pPr>
      <w:r>
        <w:rPr>
          <w:rFonts w:ascii="Nunito" w:cs="Nunito" w:eastAsia="Nunito" w:hAnsi="Nunito"/>
          <w:color w:val="1D2433"/>
          <w:sz w:val="20"/>
          <w:szCs w:val="20"/>
        </w:rPr>
        <w:t xml:space="preserve">prioriser et traiter une corbeille de dossiers variés dans un temps limité ;</w:t>
      </w:r>
    </w:p>
    <w:p>
      <w:pPr>
        <w:pStyle w:val="ListParagraph"/>
        <w:keepLines/>
        <w:numPr>
          <w:ilvl w:val="0"/>
          <w:numId w:val="2"/>
        </w:numPr>
        <w:spacing w:after="60" w:line="264"/>
      </w:pPr>
      <w:r>
        <w:rPr>
          <w:rFonts w:ascii="Nunito" w:cs="Nunito" w:eastAsia="Nunito" w:hAnsi="Nunito"/>
          <w:color w:val="1D2433"/>
          <w:sz w:val="20"/>
          <w:szCs w:val="20"/>
        </w:rPr>
        <w:t xml:space="preserve">contrôler le travail d'un collègue et contribuer à une check-list de contrôle.</w:t>
      </w:r>
    </w:p>
    <w:p>
      <w:pPr>
        <w:pStyle w:val="Heading2"/>
        <w:keepNext/>
        <w:spacing w:after="100" w:before="240"/>
      </w:pPr>
      <w:r>
        <w:rPr>
          <w:rFonts w:ascii="Fraunces" w:cs="Fraunces" w:eastAsia="Fraunces" w:hAnsi="Fraunces"/>
          <w:b/>
          <w:bCs/>
          <w:color w:val="0D2B56"/>
          <w:sz w:val="25"/>
          <w:szCs w:val="25"/>
        </w:rPr>
        <w:t xml:space="preserve">Déroulé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3600"/>
        <w:gridCol w:w="1000"/>
        <w:gridCol w:w="2138"/>
        <w:gridCol w:w="2100"/>
      </w:tblGrid>
      <w:tr>
        <w:trPr>
          <w:cantSplit/>
          <w:tblHeader/>
        </w:trPr>
        <w:tc>
          <w:tcPr>
            <w:tcW w:type="dxa" w:w="8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0D2B5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b/>
                <w:bCs/>
                <w:color w:val="FFFFFF"/>
                <w:sz w:val="18"/>
                <w:szCs w:val="18"/>
              </w:rPr>
              <w:t xml:space="preserve">Séq.</w:t>
            </w:r>
          </w:p>
        </w:tc>
        <w:tc>
          <w:tcPr>
            <w:tcW w:type="dxa" w:w="36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0D2B5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b/>
                <w:bCs/>
                <w:color w:val="FFFFFF"/>
                <w:sz w:val="18"/>
                <w:szCs w:val="18"/>
              </w:rPr>
              <w:t xml:space="preserve">Contenu</w:t>
            </w:r>
          </w:p>
        </w:tc>
        <w:tc>
          <w:tcPr>
            <w:tcW w:type="dxa" w:w="10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0D2B5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b/>
                <w:bCs/>
                <w:color w:val="FFFFFF"/>
                <w:sz w:val="18"/>
                <w:szCs w:val="18"/>
              </w:rPr>
              <w:t xml:space="preserve">Durée</w:t>
            </w:r>
          </w:p>
        </w:tc>
        <w:tc>
          <w:tcPr>
            <w:tcW w:type="dxa" w:w="21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0D2B5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b/>
                <w:bCs/>
                <w:color w:val="FFFFFF"/>
                <w:sz w:val="18"/>
                <w:szCs w:val="18"/>
              </w:rPr>
              <w:t xml:space="preserve">Modalité</w:t>
            </w:r>
          </w:p>
        </w:tc>
        <w:tc>
          <w:tcPr>
            <w:tcW w:type="dxa" w:w="21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0D2B5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b/>
                <w:bCs/>
                <w:color w:val="FFFFFF"/>
                <w:sz w:val="18"/>
                <w:szCs w:val="18"/>
              </w:rPr>
              <w:t xml:space="preserve">Supports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8F1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Ouverture</w:t>
            </w:r>
          </w:p>
        </w:tc>
        <w:tc>
          <w:tcPr>
            <w:tcW w:type="dxa" w:w="36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8F1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Présentation du déroulé de la journée</w:t>
            </w:r>
          </w:p>
        </w:tc>
        <w:tc>
          <w:tcPr>
            <w:tcW w:type="dxa" w:w="10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8F1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10 min</w:t>
            </w:r>
          </w:p>
        </w:tc>
        <w:tc>
          <w:tcPr>
            <w:tcW w:type="dxa" w:w="21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8F1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Plénière</w:t>
            </w:r>
          </w:p>
        </w:tc>
        <w:tc>
          <w:tcPr>
            <w:tcW w:type="dxa" w:w="21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8F1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—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1</w:t>
            </w:r>
          </w:p>
        </w:tc>
        <w:tc>
          <w:tcPr>
            <w:tcW w:type="dxa" w:w="36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La retraite complémentaire Agirc-Arrco</w:t>
            </w:r>
          </w:p>
        </w:tc>
        <w:tc>
          <w:tcPr>
            <w:tcW w:type="dxa" w:w="10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1 h 10</w:t>
            </w:r>
          </w:p>
        </w:tc>
        <w:tc>
          <w:tcPr>
            <w:tcW w:type="dxa" w:w="21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Apport + exercice interactif</w:t>
            </w:r>
          </w:p>
        </w:tc>
        <w:tc>
          <w:tcPr>
            <w:tcW w:type="dxa" w:w="21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PDF Séquences 1-2 (pièce 1) + exercice HTML n°1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8F1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2</w:t>
            </w:r>
          </w:p>
        </w:tc>
        <w:tc>
          <w:tcPr>
            <w:tcW w:type="dxa" w:w="36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8F1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Le plan d'épargne retraite : traiter les demandes</w:t>
            </w:r>
          </w:p>
        </w:tc>
        <w:tc>
          <w:tcPr>
            <w:tcW w:type="dxa" w:w="10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8F1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1 h</w:t>
            </w:r>
          </w:p>
        </w:tc>
        <w:tc>
          <w:tcPr>
            <w:tcW w:type="dxa" w:w="21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8F1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Apport + dossier DEVOS</w:t>
            </w:r>
          </w:p>
        </w:tc>
        <w:tc>
          <w:tcPr>
            <w:tcW w:type="dxa" w:w="21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8F1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PDF Séquences 1-2 (pièces 2 à 4) + exercice HTML n°2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3</w:t>
            </w:r>
          </w:p>
        </w:tc>
        <w:tc>
          <w:tcPr>
            <w:tcW w:type="dxa" w:w="36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Journée de production : la corbeille</w:t>
            </w:r>
          </w:p>
        </w:tc>
        <w:tc>
          <w:tcPr>
            <w:tcW w:type="dxa" w:w="10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2 h 30</w:t>
            </w:r>
          </w:p>
        </w:tc>
        <w:tc>
          <w:tcPr>
            <w:tcW w:type="dxa" w:w="21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Binômes, temps limité, contrôle croisé</w:t>
            </w:r>
          </w:p>
        </w:tc>
        <w:tc>
          <w:tcPr>
            <w:tcW w:type="dxa" w:w="21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PDF Séquence 3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8F1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4</w:t>
            </w:r>
          </w:p>
        </w:tc>
        <w:tc>
          <w:tcPr>
            <w:tcW w:type="dxa" w:w="36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8F1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Amélioration continue : la check-list de contrôle</w:t>
            </w:r>
          </w:p>
        </w:tc>
        <w:tc>
          <w:tcPr>
            <w:tcW w:type="dxa" w:w="10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8F1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50 min</w:t>
            </w:r>
          </w:p>
        </w:tc>
        <w:tc>
          <w:tcPr>
            <w:tcW w:type="dxa" w:w="21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8F1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Atelier collectif</w:t>
            </w:r>
          </w:p>
        </w:tc>
        <w:tc>
          <w:tcPr>
            <w:tcW w:type="dxa" w:w="21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8F1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Book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5</w:t>
            </w:r>
          </w:p>
        </w:tc>
        <w:tc>
          <w:tcPr>
            <w:tcW w:type="dxa" w:w="36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Synthèse du module</w:t>
            </w:r>
          </w:p>
        </w:tc>
        <w:tc>
          <w:tcPr>
            <w:tcW w:type="dxa" w:w="10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50 min</w:t>
            </w:r>
          </w:p>
        </w:tc>
        <w:tc>
          <w:tcPr>
            <w:tcW w:type="dxa" w:w="21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Exercice interactif + remise du mémo</w:t>
            </w:r>
          </w:p>
        </w:tc>
        <w:tc>
          <w:tcPr>
            <w:tcW w:type="dxa" w:w="21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Exercice HTML n°3 + mémo du module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8F1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</w:p>
        </w:tc>
        <w:tc>
          <w:tcPr>
            <w:tcW w:type="dxa" w:w="36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8F1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b/>
                <w:bCs/>
                <w:color w:val="1D2433"/>
                <w:sz w:val="18"/>
                <w:szCs w:val="18"/>
              </w:rPr>
              <w:t xml:space="preserve">Total temps de travail effectif</w:t>
            </w:r>
          </w:p>
        </w:tc>
        <w:tc>
          <w:tcPr>
            <w:tcW w:type="dxa" w:w="10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8F1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b/>
                <w:bCs/>
                <w:color w:val="1D2433"/>
                <w:sz w:val="18"/>
                <w:szCs w:val="18"/>
              </w:rPr>
              <w:t xml:space="preserve">6 h 30</w:t>
            </w:r>
          </w:p>
        </w:tc>
        <w:tc>
          <w:tcPr>
            <w:tcW w:type="dxa" w:w="21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8F1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</w:p>
        </w:tc>
        <w:tc>
          <w:tcPr>
            <w:tcW w:type="dxa" w:w="21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8F1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</w:p>
        </w:tc>
      </w:tr>
    </w:tbl>
    <w:p>
      <w:r>
        <w:br w:type="page"/>
      </w:r>
    </w:p>
    <w:p>
      <w:pPr>
        <w:pStyle w:val="Heading1"/>
        <w:keepNext/>
        <w:pBdr>
          <w:bottom w:val="single" w:color="C8A96B" w:sz="12" w:space="4"/>
        </w:pBdr>
        <w:spacing w:after="160" w:before="120"/>
      </w:pPr>
      <w:r>
        <w:rPr>
          <w:rFonts w:ascii="Fraunces" w:cs="Fraunces" w:eastAsia="Fraunces" w:hAnsi="Fraunces"/>
          <w:b/>
          <w:bCs/>
          <w:color w:val="0D2B56"/>
          <w:sz w:val="32"/>
          <w:szCs w:val="32"/>
        </w:rPr>
        <w:t xml:space="preserve">Séquence 1 — La retraite complémentaire Agirc-Arrco</w:t>
      </w:r>
    </w:p>
    <w:p>
      <w:pPr>
        <w:keepLines/>
        <w:spacing w:after="100" w:line="276"/>
      </w:pPr>
      <w:r>
        <w:rPr>
          <w:rFonts w:ascii="Nunito" w:cs="Nunito" w:eastAsia="Nunito" w:hAnsi="Nunito"/>
          <w:b/>
          <w:bCs/>
          <w:color w:val="1D2433"/>
          <w:sz w:val="20"/>
          <w:szCs w:val="20"/>
        </w:rPr>
        <w:t xml:space="preserve">Durée : 1 h 10</w:t>
      </w:r>
      <w:r>
        <w:rPr>
          <w:rFonts w:ascii="Nunito" w:cs="Nunito" w:eastAsia="Nunito" w:hAnsi="Nunito"/>
          <w:color w:val="1D2433"/>
          <w:sz w:val="20"/>
          <w:szCs w:val="20"/>
        </w:rPr>
        <w:t xml:space="preserve"> · Apport (25 min), calcul des points de M. DEVOS (20 min), exercice interactif n°1 (15 min), correction (10 min)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rPr>
          <w:cantSplit/>
          <w:tblHeader/>
        </w:trPr>
        <w:tc>
          <w:tcPr>
            <w:tcW w:type="dxa" w:w="28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0D2B5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b/>
                <w:bCs/>
                <w:color w:val="FFFFFF"/>
                <w:sz w:val="18"/>
                <w:szCs w:val="18"/>
              </w:rPr>
              <w:t xml:space="preserve">Point</w:t>
            </w:r>
          </w:p>
        </w:tc>
        <w:tc>
          <w:tcPr>
            <w:tcW w:type="dxa" w:w="68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0D2B5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b/>
                <w:bCs/>
                <w:color w:val="FFFFFF"/>
                <w:sz w:val="18"/>
                <w:szCs w:val="18"/>
              </w:rPr>
              <w:t xml:space="preserve">Règle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8F1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Le régime</w:t>
            </w:r>
          </w:p>
        </w:tc>
        <w:tc>
          <w:tcPr>
            <w:tcW w:type="dxa" w:w="68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8F1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Régime unique depuis 2019, obligatoire pour les salariés du privé, par points et par répartition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Les tranches</w:t>
            </w:r>
          </w:p>
        </w:tc>
        <w:tc>
          <w:tcPr>
            <w:tcW w:type="dxa" w:w="68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Tranche 1 : salaire jusqu'à 1 PASS · tranche 2 : de 1 à 8 PASS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8F1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Taux contractuels (créent des points)</w:t>
            </w:r>
          </w:p>
        </w:tc>
        <w:tc>
          <w:tcPr>
            <w:tcW w:type="dxa" w:w="68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8F1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T1 : 6,20 % · T2 : 17,00 %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Taux appelés (payés)</w:t>
            </w:r>
          </w:p>
        </w:tc>
        <w:tc>
          <w:tcPr>
            <w:tcW w:type="dxa" w:w="68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127 % des taux contractuels : T1 : 7,87 % · T2 : 21,59 %. Les 27 % supplémentaires, comme les contributions CEG et CET, ne créent </w:t>
            </w:r>
            <w:r>
              <w:rPr>
                <w:rFonts w:ascii="Nunito" w:cs="Nunito" w:eastAsia="Nunito" w:hAnsi="Nunito"/>
                <w:b/>
                <w:bCs/>
                <w:color w:val="1D2433"/>
                <w:sz w:val="18"/>
                <w:szCs w:val="18"/>
              </w:rPr>
              <w:t xml:space="preserve">aucun point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8F1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Points de l'année</w:t>
            </w:r>
          </w:p>
        </w:tc>
        <w:tc>
          <w:tcPr>
            <w:tcW w:type="dxa" w:w="68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8F1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Salaire de la tranche × taux contractuel ÷ prix d'achat du point (20,1877 € en 2025 et 2026)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Pension</w:t>
            </w:r>
          </w:p>
        </w:tc>
        <w:tc>
          <w:tcPr>
            <w:tcW w:type="dxa" w:w="68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Total des points × valeur de service : 1,4386 € jusqu'au 31/10/2026, </w:t>
            </w:r>
            <w:r>
              <w:rPr>
                <w:rFonts w:ascii="Nunito" w:cs="Nunito" w:eastAsia="Nunito" w:hAnsi="Nunito"/>
                <w:b/>
                <w:bCs/>
                <w:color w:val="1D2433"/>
                <w:sz w:val="18"/>
                <w:szCs w:val="18"/>
              </w:rPr>
              <w:t xml:space="preserve">1,4587 €</w:t>
            </w: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 depuis le 01/11/2026 (+1,4 %)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8F1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Points gratuits</w:t>
            </w:r>
          </w:p>
        </w:tc>
        <w:tc>
          <w:tcPr>
            <w:tcW w:type="dxa" w:w="68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8F1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Chômage indemnisé, maladie, maternité, invalidité… ouvrent aussi des points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Âge</w:t>
            </w:r>
          </w:p>
        </w:tc>
        <w:tc>
          <w:tcPr>
            <w:tcW w:type="dxa" w:w="68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Versée sans minoration lorsque la retraite de base est attribuée au taux plein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BEDEC" w:sz="4"/>
              <w:left w:val="single" w:color="B3261E" w:sz="24"/>
              <w:bottom w:val="single" w:color="FBEDEC" w:sz="4"/>
              <w:right w:val="single" w:color="FBEDEC" w:sz="4"/>
            </w:tcBorders>
            <w:shd w:fill="FBEDEC" w:color="auto" w:val="clear"/>
            <w:tcMar>
              <w:top w:type="dxa" w:w="100"/>
              <w:left w:type="dxa" w:w="180"/>
              <w:bottom w:type="dxa" w:w="10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Nunito" w:cs="Nunito" w:eastAsia="Nunito" w:hAnsi="Nunito"/>
                <w:b/>
                <w:bCs/>
                <w:color w:val="B3261E"/>
                <w:sz w:val="17"/>
                <w:szCs w:val="17"/>
              </w:rPr>
              <w:t xml:space="preserve">LE PIÈGE À ÉVITER</w:t>
            </w:r>
          </w:p>
          <w:p>
            <w:pPr>
              <w:keepNext/>
              <w:keepLines/>
              <w:spacing w:after="60" w:line="264"/>
            </w:pPr>
            <w:r>
              <w:rPr>
                <w:rFonts w:ascii="Nunito" w:cs="Nunito" w:eastAsia="Nunito" w:hAnsi="Nunito"/>
                <w:color w:val="1D2433"/>
                <w:sz w:val="19"/>
                <w:szCs w:val="19"/>
              </w:rPr>
              <w:t xml:space="preserve">Seule la cotisation au </w:t>
            </w:r>
            <w:r>
              <w:rPr>
                <w:rFonts w:ascii="Nunito" w:cs="Nunito" w:eastAsia="Nunito" w:hAnsi="Nunito"/>
                <w:b/>
                <w:bCs/>
                <w:color w:val="1D2433"/>
                <w:sz w:val="19"/>
                <w:szCs w:val="19"/>
              </w:rPr>
              <w:t xml:space="preserve">taux contractuel</w:t>
            </w:r>
            <w:r>
              <w:rPr>
                <w:rFonts w:ascii="Nunito" w:cs="Nunito" w:eastAsia="Nunito" w:hAnsi="Nunito"/>
                <w:color w:val="1D2433"/>
                <w:sz w:val="19"/>
                <w:szCs w:val="19"/>
              </w:rPr>
              <w:t xml:space="preserve"> crée des points. Diviser la cotisation réellement payée par le prix d'achat surestime les points de 27 %.</w:t>
            </w:r>
          </w:p>
        </w:tc>
      </w:tr>
    </w:tbl>
    <w:p>
      <w:pPr>
        <w:pStyle w:val="Heading2"/>
        <w:keepNext/>
        <w:spacing w:after="100" w:before="240"/>
      </w:pPr>
      <w:r>
        <w:rPr>
          <w:rFonts w:ascii="Fraunces" w:cs="Fraunces" w:eastAsia="Fraunces" w:hAnsi="Fraunces"/>
          <w:b/>
          <w:bCs/>
          <w:color w:val="0D2B56"/>
          <w:sz w:val="25"/>
          <w:szCs w:val="25"/>
        </w:rPr>
        <w:t xml:space="preserve">Les points 2025 de M. DEVOS</w:t>
      </w:r>
    </w:p>
    <w:p>
      <w:pPr>
        <w:keepLines/>
        <w:spacing w:after="100" w:line="276"/>
      </w:pPr>
      <w:r>
        <w:rPr>
          <w:rFonts w:ascii="Nunito" w:cs="Nunito" w:eastAsia="Nunito" w:hAnsi="Nunito"/>
          <w:color w:val="1D2433"/>
          <w:sz w:val="20"/>
          <w:szCs w:val="20"/>
        </w:rPr>
        <w:t xml:space="preserve">À partir de son bulletin de décembre 2025 (pièce 1), calculez les points acquis en 2025 sur chaque tranche.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  <w:tblHeader/>
        </w:trPr>
        <w:tc>
          <w:tcPr>
            <w:tcW w:type="dxa" w:w="22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0D2B5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b/>
                <w:bCs/>
                <w:color w:val="FFFFFF"/>
                <w:sz w:val="18"/>
                <w:szCs w:val="18"/>
              </w:rPr>
              <w:t xml:space="preserve">Étape</w:t>
            </w:r>
          </w:p>
        </w:tc>
        <w:tc>
          <w:tcPr>
            <w:tcW w:type="dxa" w:w="74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0D2B5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b/>
                <w:bCs/>
                <w:color w:val="FFFFFF"/>
                <w:sz w:val="18"/>
                <w:szCs w:val="18"/>
              </w:rPr>
              <w:t xml:space="preserve">Votre résultat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8F1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Tranche 1</w:t>
            </w:r>
          </w:p>
        </w:tc>
        <w:tc>
          <w:tcPr>
            <w:tcW w:type="dxa" w:w="74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8F1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Tranche 2</w:t>
            </w:r>
          </w:p>
        </w:tc>
        <w:tc>
          <w:tcPr>
            <w:tcW w:type="dxa" w:w="74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8F1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Total 2025</w:t>
            </w:r>
          </w:p>
        </w:tc>
        <w:tc>
          <w:tcPr>
            <w:tcW w:type="dxa" w:w="74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8F1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Le piège</w:t>
            </w:r>
          </w:p>
        </w:tc>
        <w:tc>
          <w:tcPr>
            <w:tcW w:type="dxa" w:w="74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8F1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Valeur en rente</w:t>
            </w:r>
          </w:p>
        </w:tc>
        <w:tc>
          <w:tcPr>
            <w:tcW w:type="dxa" w:w="74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8F1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</w:p>
        </w:tc>
      </w:tr>
    </w:tbl>
    <w:p>
      <w:pPr>
        <w:pStyle w:val="Heading2"/>
        <w:keepNext/>
        <w:spacing w:after="100" w:before="240"/>
      </w:pPr>
      <w:r>
        <w:rPr>
          <w:rFonts w:ascii="Fraunces" w:cs="Fraunces" w:eastAsia="Fraunces" w:hAnsi="Fraunces"/>
          <w:b/>
          <w:bCs/>
          <w:color w:val="0D2B56"/>
          <w:sz w:val="25"/>
          <w:szCs w:val="25"/>
        </w:rPr>
        <w:t xml:space="preserve">La retraite globale de M. BENALI</w:t>
      </w:r>
    </w:p>
    <w:p>
      <w:pPr>
        <w:keepLines/>
        <w:spacing w:after="100" w:line="276"/>
      </w:pPr>
      <w:r>
        <w:rPr>
          <w:rFonts w:ascii="Nunito" w:cs="Nunito" w:eastAsia="Nunito" w:hAnsi="Nunito"/>
          <w:color w:val="1D2433"/>
          <w:sz w:val="20"/>
          <w:szCs w:val="20"/>
        </w:rPr>
        <w:t xml:space="preserve">M. BENALI totalise 6 850 points à sa date d'effet. Calculez sa retraite complémentaire annuelle, puis sa retraite globale avec la retraite de base calculée en J2.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9AA5B8" w:sz="4"/>
              <w:left w:val="single" w:color="9AA5B8" w:sz="4"/>
              <w:bottom w:val="single" w:color="9AA5B8" w:sz="4"/>
              <w:right w:val="single" w:color="9AA5B8" w:sz="4"/>
            </w:tcBorders>
          </w:tcPr>
          <w:p>
            <w:pPr>
              <w:pBdr>
                <w:bottom w:val="dotted" w:color="C9D3E3" w:sz="4" w:space="1"/>
              </w:pBdr>
              <w:spacing w:after="0" w:line="420"/>
            </w:pPr>
          </w:p>
          <w:p>
            <w:pPr>
              <w:pBdr>
                <w:bottom w:val="dotted" w:color="C9D3E3" w:sz="4" w:space="1"/>
              </w:pBdr>
              <w:spacing w:after="0" w:line="420"/>
            </w:pPr>
          </w:p>
          <w:p>
            <w:pPr>
              <w:pBdr>
                <w:bottom w:val="dotted" w:color="C9D3E3" w:sz="4" w:space="1"/>
              </w:pBdr>
              <w:spacing w:after="0" w:line="420"/>
            </w:pPr>
          </w:p>
        </w:tc>
      </w:tr>
    </w:tbl>
    <w:p>
      <w:r>
        <w:br w:type="page"/>
      </w:r>
    </w:p>
    <w:p>
      <w:pPr>
        <w:pStyle w:val="Heading1"/>
        <w:keepNext/>
        <w:pBdr>
          <w:bottom w:val="single" w:color="C8A96B" w:sz="12" w:space="4"/>
        </w:pBdr>
        <w:spacing w:after="160" w:before="120"/>
      </w:pPr>
      <w:r>
        <w:rPr>
          <w:rFonts w:ascii="Fraunces" w:cs="Fraunces" w:eastAsia="Fraunces" w:hAnsi="Fraunces"/>
          <w:b/>
          <w:bCs/>
          <w:color w:val="0D2B56"/>
          <w:sz w:val="32"/>
          <w:szCs w:val="32"/>
        </w:rPr>
        <w:t xml:space="preserve">Séquence 2 — Le plan d'épargne retraite</w:t>
      </w:r>
    </w:p>
    <w:p>
      <w:pPr>
        <w:keepLines/>
        <w:spacing w:after="100" w:line="276"/>
      </w:pPr>
      <w:r>
        <w:rPr>
          <w:rFonts w:ascii="Nunito" w:cs="Nunito" w:eastAsia="Nunito" w:hAnsi="Nunito"/>
          <w:b/>
          <w:bCs/>
          <w:color w:val="1D2433"/>
          <w:sz w:val="20"/>
          <w:szCs w:val="20"/>
        </w:rPr>
        <w:t xml:space="preserve">Durée : 1 h</w:t>
      </w:r>
      <w:r>
        <w:rPr>
          <w:rFonts w:ascii="Nunito" w:cs="Nunito" w:eastAsia="Nunito" w:hAnsi="Nunito"/>
          <w:color w:val="1D2433"/>
          <w:sz w:val="20"/>
          <w:szCs w:val="20"/>
        </w:rPr>
        <w:t xml:space="preserve"> · Apport (20 min), dossier DEVOS en binôme (25 min), exercice interactif n°2 (15 min)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cantSplit/>
          <w:tblHeader/>
        </w:trPr>
        <w:tc>
          <w:tcPr>
            <w:tcW w:type="dxa" w:w="26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0D2B5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b/>
                <w:bCs/>
                <w:color w:val="FFFFFF"/>
                <w:sz w:val="18"/>
                <w:szCs w:val="18"/>
              </w:rPr>
              <w:t xml:space="preserve">Point</w:t>
            </w:r>
          </w:p>
        </w:tc>
        <w:tc>
          <w:tcPr>
            <w:tcW w:type="dxa" w:w="70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0D2B5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b/>
                <w:bCs/>
                <w:color w:val="FFFFFF"/>
                <w:sz w:val="18"/>
                <w:szCs w:val="18"/>
              </w:rPr>
              <w:t xml:space="preserve">Règle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8F1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Les versements volontaires</w:t>
            </w:r>
          </w:p>
        </w:tc>
        <w:tc>
          <w:tcPr>
            <w:tcW w:type="dxa" w:w="70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8F1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Déductibles du revenu imposable, dans la limite de 10 % des revenus d'activité professionnelle de l'année précédente (limités à 8 PASS), avec un minimum de 10 % du PASS. Depuis 2026 : plafonds non utilisés reportables sur </w:t>
            </w:r>
            <w:r>
              <w:rPr>
                <w:rFonts w:ascii="Nunito" w:cs="Nunito" w:eastAsia="Nunito" w:hAnsi="Nunito"/>
                <w:b/>
                <w:bCs/>
                <w:color w:val="1D2433"/>
                <w:sz w:val="18"/>
                <w:szCs w:val="18"/>
              </w:rPr>
              <w:t xml:space="preserve">cinq ans</w:t>
            </w: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 (au lieu de trois) ; versements effectués </w:t>
            </w:r>
            <w:r>
              <w:rPr>
                <w:rFonts w:ascii="Nunito" w:cs="Nunito" w:eastAsia="Nunito" w:hAnsi="Nunito"/>
                <w:b/>
                <w:bCs/>
                <w:color w:val="1D2433"/>
                <w:sz w:val="18"/>
                <w:szCs w:val="18"/>
              </w:rPr>
              <w:t xml:space="preserve">après 70 ans</w:t>
            </w: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 non déductibles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La sortie à la retraite</w:t>
            </w:r>
          </w:p>
        </w:tc>
        <w:tc>
          <w:tcPr>
            <w:tcW w:type="dxa" w:w="70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Versements volontaires : en capital, en rente, ou en combinant les deux. Versements obligatoires : en rente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8F1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La fiscalité d'une sortie en capital</w:t>
            </w:r>
          </w:p>
        </w:tc>
        <w:tc>
          <w:tcPr>
            <w:tcW w:type="dxa" w:w="70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8F1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Part correspondant aux versements déduits : impôt sur le revenu au barème. Gains : prélèvement forfaitaire unique de </w:t>
            </w:r>
            <w:r>
              <w:rPr>
                <w:rFonts w:ascii="Nunito" w:cs="Nunito" w:eastAsia="Nunito" w:hAnsi="Nunito"/>
                <w:b/>
                <w:bCs/>
                <w:color w:val="1D2433"/>
                <w:sz w:val="18"/>
                <w:szCs w:val="18"/>
              </w:rPr>
              <w:t xml:space="preserve">31,4 %</w:t>
            </w: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 depuis le 1er janvier 2026 (12,8 % d'impôt + </w:t>
            </w:r>
            <w:r>
              <w:rPr>
                <w:rFonts w:ascii="Nunito" w:cs="Nunito" w:eastAsia="Nunito" w:hAnsi="Nunito"/>
                <w:b/>
                <w:bCs/>
                <w:color w:val="1D2433"/>
                <w:sz w:val="18"/>
                <w:szCs w:val="18"/>
              </w:rPr>
              <w:t xml:space="preserve">18,6 %</w:t>
            </w: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 de prélèvements sociaux, contre 17,2 % auparavant). Versements non déduits : seuls les gains sont imposés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Le déblocage anticipé</w:t>
            </w:r>
          </w:p>
        </w:tc>
        <w:tc>
          <w:tcPr>
            <w:tcW w:type="dxa" w:w="70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Acquisition de la résidence principale (sauf sommes issues des versements obligatoires) ; accidents de la vie : décès du conjoint ou du partenaire de PACS, invalidité, surendettement, fin des droits au chômage, cessation d'activité non salariée après liquidation judiciaire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8F1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Les pièces</w:t>
            </w:r>
          </w:p>
        </w:tc>
        <w:tc>
          <w:tcPr>
            <w:tcW w:type="dxa" w:w="70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8F1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Toujours le justificatif de l'événement : pour une résidence principale, acte de vente ou attestation notariale, et engagement d'affectation à la résidence principale</w:t>
            </w:r>
          </w:p>
        </w:tc>
      </w:tr>
    </w:tbl>
    <w:p>
      <w:pPr>
        <w:pStyle w:val="Heading2"/>
        <w:keepNext/>
        <w:spacing w:after="100" w:before="240"/>
      </w:pPr>
      <w:r>
        <w:rPr>
          <w:rFonts w:ascii="Fraunces" w:cs="Fraunces" w:eastAsia="Fraunces" w:hAnsi="Fraunces"/>
          <w:b/>
          <w:bCs/>
          <w:color w:val="0D2B56"/>
          <w:sz w:val="25"/>
          <w:szCs w:val="25"/>
        </w:rPr>
        <w:t xml:space="preserve">Le dossier de M. DEVOS</w:t>
      </w:r>
    </w:p>
    <w:p>
      <w:pPr>
        <w:keepLines/>
        <w:spacing w:after="100" w:line="276"/>
      </w:pPr>
      <w:r>
        <w:rPr>
          <w:rFonts w:ascii="Nunito" w:cs="Nunito" w:eastAsia="Nunito" w:hAnsi="Nunito"/>
          <w:color w:val="1D2433"/>
          <w:sz w:val="20"/>
          <w:szCs w:val="20"/>
        </w:rPr>
        <w:t xml:space="preserve">À partir des pièces 2 à 4 : quel est le plafond de déduction de M. DEVOS pour 2026 ? Quelle suite donner à sa demande de déblocage ?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cantSplit/>
          <w:tblHeader/>
        </w:trPr>
        <w:tc>
          <w:tcPr>
            <w:tcW w:type="dxa" w:w="26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0D2B5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b/>
                <w:bCs/>
                <w:color w:val="FFFFFF"/>
                <w:sz w:val="18"/>
                <w:szCs w:val="18"/>
              </w:rPr>
              <w:t xml:space="preserve">Élément</w:t>
            </w:r>
          </w:p>
        </w:tc>
        <w:tc>
          <w:tcPr>
            <w:tcW w:type="dxa" w:w="70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0D2B5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b/>
                <w:bCs/>
                <w:color w:val="FFFFFF"/>
                <w:sz w:val="18"/>
                <w:szCs w:val="18"/>
              </w:rPr>
              <w:t xml:space="preserve">Votre résultat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8F1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Plafond de déduction 2026</w:t>
            </w:r>
          </w:p>
        </w:tc>
        <w:tc>
          <w:tcPr>
            <w:tcW w:type="dxa" w:w="70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8F1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Versements 2026</w:t>
            </w:r>
          </w:p>
        </w:tc>
        <w:tc>
          <w:tcPr>
            <w:tcW w:type="dxa" w:w="70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8F1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Déblocage demandé</w:t>
            </w:r>
          </w:p>
        </w:tc>
        <w:tc>
          <w:tcPr>
            <w:tcW w:type="dxa" w:w="70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8F1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Pièces à réclamer</w:t>
            </w:r>
          </w:p>
        </w:tc>
        <w:tc>
          <w:tcPr>
            <w:tcW w:type="dxa" w:w="70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8F1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Réponse à M. DEVOS</w:t>
            </w:r>
          </w:p>
        </w:tc>
        <w:tc>
          <w:tcPr>
            <w:tcW w:type="dxa" w:w="70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8F1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</w:p>
        </w:tc>
      </w:tr>
    </w:tbl>
    <w:p>
      <w:r>
        <w:br w:type="page"/>
      </w:r>
    </w:p>
    <w:p>
      <w:pPr>
        <w:pStyle w:val="Heading1"/>
        <w:keepNext/>
        <w:pBdr>
          <w:bottom w:val="single" w:color="C8A96B" w:sz="12" w:space="4"/>
        </w:pBdr>
        <w:spacing w:after="160" w:before="120"/>
      </w:pPr>
      <w:r>
        <w:rPr>
          <w:rFonts w:ascii="Fraunces" w:cs="Fraunces" w:eastAsia="Fraunces" w:hAnsi="Fraunces"/>
          <w:b/>
          <w:bCs/>
          <w:color w:val="0D2B56"/>
          <w:sz w:val="32"/>
          <w:szCs w:val="32"/>
        </w:rPr>
        <w:t xml:space="preserve">Séquence 3 — Journée de production : la corbeille</w:t>
      </w:r>
    </w:p>
    <w:p>
      <w:pPr>
        <w:keepLines/>
        <w:spacing w:after="100" w:line="276"/>
      </w:pPr>
      <w:r>
        <w:rPr>
          <w:rFonts w:ascii="Nunito" w:cs="Nunito" w:eastAsia="Nunito" w:hAnsi="Nunito"/>
          <w:b/>
          <w:bCs/>
          <w:color w:val="1D2433"/>
          <w:sz w:val="20"/>
          <w:szCs w:val="20"/>
        </w:rPr>
        <w:t xml:space="preserve">Durée : 2 h 30</w:t>
      </w:r>
      <w:r>
        <w:rPr>
          <w:rFonts w:ascii="Nunito" w:cs="Nunito" w:eastAsia="Nunito" w:hAnsi="Nunito"/>
          <w:color w:val="1D2433"/>
          <w:sz w:val="20"/>
          <w:szCs w:val="20"/>
        </w:rPr>
        <w:t xml:space="preserve"> · Priorisation (15 min), traitement (1 h 15), contrôle croisé (30 min), correction collective (30 min) · PDF « Séquence 3 »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BF7EF" w:sz="4"/>
              <w:left w:val="single" w:color="C8A96B" w:sz="24"/>
              <w:bottom w:val="single" w:color="FBF7EF" w:sz="4"/>
              <w:right w:val="single" w:color="FBF7EF" w:sz="4"/>
            </w:tcBorders>
            <w:shd w:fill="FBF7EF" w:color="auto" w:val="clear"/>
            <w:tcMar>
              <w:top w:type="dxa" w:w="100"/>
              <w:left w:type="dxa" w:w="180"/>
              <w:bottom w:type="dxa" w:w="10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Nunito" w:cs="Nunito" w:eastAsia="Nunito" w:hAnsi="Nunito"/>
                <w:b/>
                <w:bCs/>
                <w:color w:val="8A6A2C"/>
                <w:sz w:val="17"/>
                <w:szCs w:val="17"/>
              </w:rPr>
              <w:t xml:space="preserve">LES RÈGLES DU JEU</w:t>
            </w:r>
          </w:p>
          <w:p>
            <w:pPr>
              <w:keepNext/>
              <w:keepLines/>
              <w:spacing w:after="60" w:line="264"/>
            </w:pPr>
            <w:r>
              <w:rPr>
                <w:rFonts w:ascii="Nunito" w:cs="Nunito" w:eastAsia="Nunito" w:hAnsi="Nunito"/>
                <w:color w:val="1D2433"/>
                <w:sz w:val="19"/>
                <w:szCs w:val="19"/>
              </w:rPr>
              <w:t xml:space="preserve">Classez d'abord les huit dossiers : </w:t>
            </w:r>
            <w:r>
              <w:rPr>
                <w:rFonts w:ascii="Nunito" w:cs="Nunito" w:eastAsia="Nunito" w:hAnsi="Nunito"/>
                <w:b/>
                <w:bCs/>
                <w:color w:val="1D2433"/>
                <w:sz w:val="19"/>
                <w:szCs w:val="19"/>
              </w:rPr>
              <w:t xml:space="preserve">1</w:t>
            </w:r>
            <w:r>
              <w:rPr>
                <w:rFonts w:ascii="Nunito" w:cs="Nunito" w:eastAsia="Nunito" w:hAnsi="Nunito"/>
                <w:color w:val="1D2433"/>
                <w:sz w:val="19"/>
                <w:szCs w:val="19"/>
              </w:rPr>
              <w:t xml:space="preserve"> = risque de rupture de revenus ou situation de détresse ; </w:t>
            </w:r>
            <w:r>
              <w:rPr>
                <w:rFonts w:ascii="Nunito" w:cs="Nunito" w:eastAsia="Nunito" w:hAnsi="Nunito"/>
                <w:b/>
                <w:bCs/>
                <w:color w:val="1D2433"/>
                <w:sz w:val="19"/>
                <w:szCs w:val="19"/>
              </w:rPr>
              <w:t xml:space="preserve">2</w:t>
            </w:r>
            <w:r>
              <w:rPr>
                <w:rFonts w:ascii="Nunito" w:cs="Nunito" w:eastAsia="Nunito" w:hAnsi="Nunito"/>
                <w:color w:val="1D2433"/>
                <w:sz w:val="19"/>
                <w:szCs w:val="19"/>
              </w:rPr>
              <w:t xml:space="preserve"> = à traiter dans la journée ; </w:t>
            </w:r>
            <w:r>
              <w:rPr>
                <w:rFonts w:ascii="Nunito" w:cs="Nunito" w:eastAsia="Nunito" w:hAnsi="Nunito"/>
                <w:b/>
                <w:bCs/>
                <w:color w:val="1D2433"/>
                <w:sz w:val="19"/>
                <w:szCs w:val="19"/>
              </w:rPr>
              <w:t xml:space="preserve">3</w:t>
            </w:r>
            <w:r>
              <w:rPr>
                <w:rFonts w:ascii="Nunito" w:cs="Nunito" w:eastAsia="Nunito" w:hAnsi="Nunito"/>
                <w:color w:val="1D2433"/>
                <w:sz w:val="19"/>
                <w:szCs w:val="19"/>
              </w:rPr>
              <w:t xml:space="preserve"> = information ou orientation.</w:t>
            </w:r>
          </w:p>
          <w:p>
            <w:pPr>
              <w:keepNext/>
              <w:keepLines/>
              <w:spacing w:after="60" w:line="264"/>
            </w:pPr>
            <w:r>
              <w:rPr>
                <w:rFonts w:ascii="Nunito" w:cs="Nunito" w:eastAsia="Nunito" w:hAnsi="Nunito"/>
                <w:color w:val="1D2433"/>
                <w:sz w:val="19"/>
                <w:szCs w:val="19"/>
              </w:rPr>
              <w:t xml:space="preserve">Traitez-les dans l'ordre de priorité. Pour chacun : diagnostic, action, calcul éventuel.</w:t>
            </w:r>
          </w:p>
          <w:p>
            <w:pPr>
              <w:keepNext/>
              <w:keepLines/>
              <w:spacing w:after="60" w:line="264"/>
            </w:pPr>
            <w:r>
              <w:rPr>
                <w:rFonts w:ascii="Nunito" w:cs="Nunito" w:eastAsia="Nunito" w:hAnsi="Nunito"/>
                <w:color w:val="1D2433"/>
                <w:sz w:val="19"/>
                <w:szCs w:val="19"/>
              </w:rPr>
              <w:t xml:space="preserve">Échangez ensuite vos fiches avec votre binôme : il contrôle et signe la case « Visa du contrôleur ».</w:t>
            </w:r>
          </w:p>
        </w:tc>
      </w:tr>
    </w:tbl>
    <w:p>
      <w:r>
        <w:br w:type="page"/>
      </w:r>
    </w:p>
    <w:p>
      <w:pPr>
        <w:pStyle w:val="Heading1"/>
        <w:keepNext/>
        <w:pBdr>
          <w:bottom w:val="single" w:color="C8A96B" w:sz="12" w:space="4"/>
        </w:pBdr>
        <w:spacing w:after="160" w:before="120"/>
      </w:pPr>
      <w:r>
        <w:rPr>
          <w:rFonts w:ascii="Fraunces" w:cs="Fraunces" w:eastAsia="Fraunces" w:hAnsi="Fraunces"/>
          <w:b/>
          <w:bCs/>
          <w:color w:val="0D2B56"/>
          <w:sz w:val="32"/>
          <w:szCs w:val="32"/>
        </w:rPr>
        <w:t xml:space="preserve">Séquence 4 — Amélioration continue : la check-list de contrôle</w:t>
      </w:r>
    </w:p>
    <w:p>
      <w:pPr>
        <w:keepLines/>
        <w:spacing w:after="100" w:line="276"/>
      </w:pPr>
      <w:r>
        <w:rPr>
          <w:rFonts w:ascii="Nunito" w:cs="Nunito" w:eastAsia="Nunito" w:hAnsi="Nunito"/>
          <w:b/>
          <w:bCs/>
          <w:color w:val="1D2433"/>
          <w:sz w:val="20"/>
          <w:szCs w:val="20"/>
        </w:rPr>
        <w:t xml:space="preserve">Durée : 50 min</w:t>
      </w:r>
      <w:r>
        <w:rPr>
          <w:rFonts w:ascii="Nunito" w:cs="Nunito" w:eastAsia="Nunito" w:hAnsi="Nunito"/>
          <w:color w:val="1D2433"/>
          <w:sz w:val="20"/>
          <w:szCs w:val="20"/>
        </w:rPr>
        <w:t xml:space="preserve"> · Relevé des erreurs de la semaine (15 min), construction collective (25 min), validation (10 min)</w:t>
      </w:r>
    </w:p>
    <w:p>
      <w:pPr>
        <w:keepLines/>
        <w:spacing w:after="100" w:line="276"/>
      </w:pPr>
      <w:r>
        <w:rPr>
          <w:rFonts w:ascii="Nunito" w:cs="Nunito" w:eastAsia="Nunito" w:hAnsi="Nunito"/>
          <w:color w:val="1D2433"/>
          <w:sz w:val="20"/>
          <w:szCs w:val="20"/>
        </w:rPr>
        <w:t xml:space="preserve">À partir des erreurs que vous avez commises ou évitées depuis la J1, construisez avec le groupe la check-list de contrôle d'un dossier de retraite, étape par étape.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  <w:tblHeader/>
        </w:trPr>
        <w:tc>
          <w:tcPr>
            <w:tcW w:type="dxa" w:w="22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0D2B5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b/>
                <w:bCs/>
                <w:color w:val="FFFFFF"/>
                <w:sz w:val="18"/>
                <w:szCs w:val="18"/>
              </w:rPr>
              <w:t xml:space="preserve">Étape</w:t>
            </w:r>
          </w:p>
        </w:tc>
        <w:tc>
          <w:tcPr>
            <w:tcW w:type="dxa" w:w="74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0D2B5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b/>
                <w:bCs/>
                <w:color w:val="FFFFFF"/>
                <w:sz w:val="18"/>
                <w:szCs w:val="18"/>
              </w:rPr>
              <w:t xml:space="preserve">Points de contrôle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8F1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Avant d'instruire</w:t>
            </w:r>
          </w:p>
        </w:tc>
        <w:tc>
          <w:tcPr>
            <w:tcW w:type="dxa" w:w="74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8F1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Carrière</w:t>
            </w:r>
          </w:p>
        </w:tc>
        <w:tc>
          <w:tcPr>
            <w:tcW w:type="dxa" w:w="74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8F1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Calcul</w:t>
            </w:r>
          </w:p>
        </w:tc>
        <w:tc>
          <w:tcPr>
            <w:tcW w:type="dxa" w:w="74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8F1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Réversion</w:t>
            </w:r>
          </w:p>
        </w:tc>
        <w:tc>
          <w:tcPr>
            <w:tcW w:type="dxa" w:w="74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8F1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Complémentaires</w:t>
            </w:r>
          </w:p>
        </w:tc>
        <w:tc>
          <w:tcPr>
            <w:tcW w:type="dxa" w:w="74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8F1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Communication</w:t>
            </w:r>
          </w:p>
        </w:tc>
        <w:tc>
          <w:tcPr>
            <w:tcW w:type="dxa" w:w="74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</w:p>
        </w:tc>
      </w:tr>
    </w:tbl>
    <w:p>
      <w:r>
        <w:br w:type="page"/>
      </w:r>
    </w:p>
    <w:p>
      <w:pPr>
        <w:pStyle w:val="Heading1"/>
        <w:keepNext/>
        <w:pBdr>
          <w:bottom w:val="single" w:color="C8A96B" w:sz="12" w:space="4"/>
        </w:pBdr>
        <w:spacing w:after="160" w:before="120"/>
      </w:pPr>
      <w:r>
        <w:rPr>
          <w:rFonts w:ascii="Fraunces" w:cs="Fraunces" w:eastAsia="Fraunces" w:hAnsi="Fraunces"/>
          <w:b/>
          <w:bCs/>
          <w:color w:val="0D2B56"/>
          <w:sz w:val="32"/>
          <w:szCs w:val="32"/>
        </w:rPr>
        <w:t xml:space="preserve">Séquence 5 — Synthèse du module</w:t>
      </w:r>
    </w:p>
    <w:p>
      <w:pPr>
        <w:keepLines/>
        <w:spacing w:after="100" w:line="276"/>
      </w:pPr>
      <w:r>
        <w:rPr>
          <w:rFonts w:ascii="Nunito" w:cs="Nunito" w:eastAsia="Nunito" w:hAnsi="Nunito"/>
          <w:b/>
          <w:bCs/>
          <w:color w:val="1D2433"/>
          <w:sz w:val="20"/>
          <w:szCs w:val="20"/>
        </w:rPr>
        <w:t xml:space="preserve">Durée : 50 min</w:t>
      </w:r>
      <w:r>
        <w:rPr>
          <w:rFonts w:ascii="Nunito" w:cs="Nunito" w:eastAsia="Nunito" w:hAnsi="Nunito"/>
          <w:color w:val="1D2433"/>
          <w:sz w:val="20"/>
          <w:szCs w:val="20"/>
        </w:rPr>
        <w:t xml:space="preserve"> · Exercice interactif n°3 (25 min), remise et lecture du mémo du module (15 min), bilan (10 min)</w:t>
      </w:r>
    </w:p>
    <w:p>
      <w:pPr>
        <w:keepLines/>
        <w:spacing w:after="100" w:line="276"/>
      </w:pPr>
      <w:r>
        <w:rPr>
          <w:rFonts w:ascii="Nunito" w:cs="Nunito" w:eastAsia="Nunito" w:hAnsi="Nunito"/>
          <w:color w:val="1D2433"/>
          <w:sz w:val="20"/>
          <w:szCs w:val="20"/>
        </w:rPr>
        <w:t xml:space="preserve">Quinze questions qui reprennent les cinq journées. Le mémo du module vous est remis ensuite.</w:t>
      </w:r>
    </w:p>
    <w:sectPr>
      <w:headerReference w:type="default" r:id="rId6"/>
      <w:footerReference w:type="default" r:id="rId7"/>
      <w:pgSz w:w="11906" w:h="16838" w:orient="portrait"/>
      <w:pgMar w:top="1300" w:right="1134" w:bottom="1000" w:left="1134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Nunito" w:cs="Nunito" w:eastAsia="Nunito" w:hAnsi="Nunito"/>
        <w:color w:val="555555"/>
        <w:sz w:val="16"/>
        <w:szCs w:val="16"/>
      </w:rPr>
      <w:t xml:space="preserve">TMK Performances - N° Siret : 49841924100027 - Code NAF : 8559A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hd w:fill="0D2B56" w:color="auto" w:val="clear"/>
      <w:tabs>
        <w:tab w:val="right" w:pos="9638"/>
      </w:tabs>
      <w:spacing w:after="0"/>
    </w:pPr>
    <w:r>
      <w:rPr>
        <w:rFonts w:ascii="Fraunces" w:cs="Fraunces" w:eastAsia="Fraunces" w:hAnsi="Fraunces"/>
        <w:b/>
        <w:bCs/>
        <w:color w:val="FFFFFF"/>
        <w:sz w:val="20"/>
        <w:szCs w:val="20"/>
      </w:rPr>
      <w:t xml:space="preserve"> TMK Performances</w:t>
    </w:r>
    <w:r>
      <w:rPr>
        <w:rFonts w:ascii="Nunito" w:cs="Nunito" w:eastAsia="Nunito" w:hAnsi="Nunito"/>
        <w:color w:val="FFFFFF"/>
        <w:sz w:val="16"/>
        <w:szCs w:val="16"/>
      </w:rPr>
      <w:t xml:space="preserve">	Pratique professionnelle du gestionnaire retraite · J5 · Book stagiaire </w:t>
    </w:r>
  </w:p>
  <w:p>
    <w:pPr>
      <w:pBdr>
        <w:top w:val="single" w:color="C8A96B" w:sz="12" w:space="0"/>
      </w:pBdr>
      <w:shd w:fill="B3261E" w:color="auto" w:val="clear"/>
      <w:spacing w:after="120"/>
      <w:jc w:val="center"/>
    </w:pPr>
    <w:r>
      <w:rPr>
        <w:rFonts w:ascii="Nunito" w:cs="Nunito" w:eastAsia="Nunito" w:hAnsi="Nunito"/>
        <w:b/>
        <w:bCs/>
        <w:color w:val="FFFFFF"/>
        <w:sz w:val="14"/>
        <w:szCs w:val="14"/>
      </w:rPr>
      <w:t xml:space="preserve">DOCUMENT FICTIF À USAGE PÉDAGOGIQUE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00" w:hanging="260"/>
      </w:pPr>
      <w:rPr>
        <w:color w:val="C8A96B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Nunito" w:cs="Nunito" w:eastAsia="Nunito" w:hAnsi="Nunito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Pratique professionnelle du gestionnaire retraite — J5 — Book stagiaire</dc:title>
  <dc:creator>TMK Performances</dc:creator>
  <cp:lastModifiedBy>Un-named</cp:lastModifiedBy>
  <cp:revision>1</cp:revision>
  <dcterms:created xsi:type="dcterms:W3CDTF">2026-10-21T07:47:00.889Z</dcterms:created>
  <dcterms:modified xsi:type="dcterms:W3CDTF">2026-10-21T07:47:00.889Z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