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00"/>
      </w:pPr>
      <w:r>
        <w:rPr>
          <w:rFonts w:ascii="Fraunces" w:cs="Fraunces" w:eastAsia="Fraunces" w:hAnsi="Fraunces"/>
          <w:b/>
          <w:bCs/>
          <w:color w:val="C8A96B"/>
          <w:sz w:val="30"/>
          <w:szCs w:val="30"/>
        </w:rPr>
        <w:t xml:space="preserve">TMK Performances</w:t>
      </w:r>
    </w:p>
    <w:p>
      <w:pPr>
        <w:spacing w:after="200"/>
      </w:pPr>
      <w:r>
        <w:rPr>
          <w:rFonts w:ascii="Fraunces" w:cs="Fraunces" w:eastAsia="Fraunces" w:hAnsi="Fraunces"/>
          <w:b/>
          <w:bCs/>
          <w:color w:val="0D2B56"/>
          <w:sz w:val="52"/>
          <w:szCs w:val="52"/>
        </w:rPr>
        <w:t xml:space="preserve">Pratique professionnelle du gestionnaire retraite</w:t>
      </w:r>
    </w:p>
    <w:p>
      <w:pPr>
        <w:pBdr>
          <w:bottom w:val="single" w:color="C8A96B" w:sz="12" w:space="8"/>
        </w:pBdr>
        <w:spacing w:after="360"/>
      </w:pPr>
      <w:r>
        <w:rPr>
          <w:rFonts w:ascii="Fraunces" w:cs="Fraunces" w:eastAsia="Fraunces" w:hAnsi="Fraunces"/>
          <w:color w:val="0F4C81"/>
          <w:sz w:val="34"/>
          <w:szCs w:val="34"/>
        </w:rPr>
        <w:t xml:space="preserve">Journée 4 — Réversion et situations familiales</w:t>
      </w:r>
    </w:p>
    <w:p>
      <w:pPr>
        <w:spacing w:after="120"/>
      </w:pPr>
      <w:r>
        <w:rPr>
          <w:rFonts w:ascii="Nunito" w:cs="Nunito" w:eastAsia="Nunito" w:hAnsi="Nunito"/>
          <w:b/>
          <w:bCs/>
          <w:color w:val="0D2B56"/>
          <w:sz w:val="30"/>
          <w:szCs w:val="30"/>
        </w:rPr>
        <w:t xml:space="preserve">Book stagiaire</w:t>
      </w:r>
    </w:p>
    <w:p>
      <w:pPr>
        <w:keepLines/>
        <w:spacing w:after="100" w:line="276"/>
      </w:pPr>
      <w:r>
        <w:rPr>
          <w:rFonts w:ascii="Nunito" w:cs="Nunito" w:eastAsia="Nunito" w:hAnsi="Nunito"/>
          <w:color w:val="1D2433"/>
          <w:sz w:val="20"/>
          <w:szCs w:val="20"/>
        </w:rPr>
        <w:t xml:space="preserve">Gestionnaire en assurances — spécialité retraite / santé · Groupe TESSI</w:t>
      </w:r>
    </w:p>
    <w:p>
      <w:pPr>
        <w:keepLines/>
        <w:spacing w:after="100" w:line="276"/>
      </w:pPr>
      <w:r>
        <w:rPr>
          <w:rFonts w:ascii="Nunito" w:cs="Nunito" w:eastAsia="Nunito" w:hAnsi="Nunito"/>
          <w:color w:val="1D2433"/>
          <w:sz w:val="20"/>
          <w:szCs w:val="20"/>
        </w:rPr>
        <w:t xml:space="preserve">Bloc 2 · Module « La pratique professionnelle du gestionnaire retraite » (35 h) · Durée de la journée : 6 h 30 de travail effectif</w:t>
      </w:r>
    </w:p>
    <w:p>
      <w:pPr>
        <w:spacing w:after="6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DEC" w:sz="4"/>
              <w:left w:val="single" w:color="B3261E" w:sz="24"/>
              <w:bottom w:val="single" w:color="FBEDEC" w:sz="4"/>
              <w:right w:val="single" w:color="FBEDEC" w:sz="4"/>
            </w:tcBorders>
            <w:shd w:fill="FBEDEC" w:color="auto" w:val="clear"/>
            <w:tcMar>
              <w:top w:type="dxa" w:w="100"/>
              <w:left w:type="dxa" w:w="180"/>
              <w:bottom w:type="dxa" w:w="100"/>
              <w:right w:type="dxa" w:w="160"/>
            </w:tcMar>
          </w:tcPr>
          <w:p>
            <w:pPr>
              <w:keepNext/>
              <w:spacing w:after="60"/>
            </w:pPr>
            <w:r>
              <w:rPr>
                <w:rFonts w:ascii="Nunito" w:cs="Nunito" w:eastAsia="Nunito" w:hAnsi="Nunito"/>
                <w:b/>
                <w:bCs/>
                <w:color w:val="B3261E"/>
                <w:sz w:val="17"/>
                <w:szCs w:val="17"/>
              </w:rPr>
              <w:t xml:space="preserve">DOCUMENT FICTIF À USAGE PÉDAGOGIQUE</w:t>
            </w:r>
          </w:p>
          <w:p>
            <w:pPr>
              <w:keepNext/>
              <w:keepLines/>
              <w:spacing w:after="60" w:line="264"/>
            </w:pPr>
            <w:r>
              <w:rPr>
                <w:rFonts w:ascii="Nunito" w:cs="Nunito" w:eastAsia="Nunito" w:hAnsi="Nunito"/>
                <w:color w:val="1D2433"/>
                <w:sz w:val="19"/>
                <w:szCs w:val="19"/>
              </w:rPr>
              <w:t xml:space="preserve">Les personnes et caisses citées sont fictives. Montants 2026 : plafond de ressources calculé sur le SMIC horaire au 1er janvier 2026 (12,02 €) ; valeur du point Agirc-Arrco de 1,4587 € à compter du 01/11/2026.</w:t>
            </w: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La journée en bref</w:t>
      </w:r>
    </w:p>
    <w:p>
      <w:pPr>
        <w:pStyle w:val="Heading2"/>
        <w:keepNext/>
        <w:spacing w:after="100" w:before="240"/>
      </w:pPr>
      <w:r>
        <w:rPr>
          <w:rFonts w:ascii="Fraunces" w:cs="Fraunces" w:eastAsia="Fraunces" w:hAnsi="Fraunces"/>
          <w:b/>
          <w:bCs/>
          <w:color w:val="0D2B56"/>
          <w:sz w:val="25"/>
          <w:szCs w:val="25"/>
        </w:rPr>
        <w:t xml:space="preserve">Objectifs</w:t>
      </w:r>
    </w:p>
    <w:p>
      <w:pPr>
        <w:keepLines/>
        <w:spacing w:after="100" w:line="276"/>
      </w:pPr>
      <w:r>
        <w:rPr>
          <w:rFonts w:ascii="Nunito" w:cs="Nunito" w:eastAsia="Nunito" w:hAnsi="Nunito"/>
          <w:color w:val="1D2433"/>
          <w:sz w:val="20"/>
          <w:szCs w:val="20"/>
        </w:rPr>
        <w:t xml:space="preserve">À l'issue de la journée, vous serez capable de :</w:t>
      </w:r>
    </w:p>
    <w:p>
      <w:pPr>
        <w:pStyle w:val="ListParagraph"/>
        <w:keepLines/>
        <w:numPr>
          <w:ilvl w:val="0"/>
          <w:numId w:val="2"/>
        </w:numPr>
        <w:spacing w:after="60" w:line="264"/>
      </w:pPr>
      <w:r>
        <w:rPr>
          <w:rFonts w:ascii="Nunito" w:cs="Nunito" w:eastAsia="Nunito" w:hAnsi="Nunito"/>
          <w:color w:val="1D2433"/>
          <w:sz w:val="20"/>
          <w:szCs w:val="20"/>
        </w:rPr>
        <w:t xml:space="preserve">vérifier les conditions d'ouverture d'une réversion au régime général et à l'Agirc-Arrco ;</w:t>
      </w:r>
    </w:p>
    <w:p>
      <w:pPr>
        <w:pStyle w:val="ListParagraph"/>
        <w:keepLines/>
        <w:numPr>
          <w:ilvl w:val="0"/>
          <w:numId w:val="2"/>
        </w:numPr>
        <w:spacing w:after="60" w:line="264"/>
      </w:pPr>
      <w:r>
        <w:rPr>
          <w:rFonts w:ascii="Nunito" w:cs="Nunito" w:eastAsia="Nunito" w:hAnsi="Nunito"/>
          <w:color w:val="1D2433"/>
          <w:sz w:val="20"/>
          <w:szCs w:val="20"/>
        </w:rPr>
        <w:t xml:space="preserve">déterminer les ressources à retenir et appliquer le plafond ;</w:t>
      </w:r>
    </w:p>
    <w:p>
      <w:pPr>
        <w:pStyle w:val="ListParagraph"/>
        <w:keepLines/>
        <w:numPr>
          <w:ilvl w:val="0"/>
          <w:numId w:val="2"/>
        </w:numPr>
        <w:spacing w:after="60" w:line="264"/>
      </w:pPr>
      <w:r>
        <w:rPr>
          <w:rFonts w:ascii="Nunito" w:cs="Nunito" w:eastAsia="Nunito" w:hAnsi="Nunito"/>
          <w:color w:val="1D2433"/>
          <w:sz w:val="20"/>
          <w:szCs w:val="20"/>
        </w:rPr>
        <w:t xml:space="preserve">calculer une réversion réduite et une réversion partagée entre plusieurs conjoints ;</w:t>
      </w:r>
    </w:p>
    <w:p>
      <w:pPr>
        <w:pStyle w:val="ListParagraph"/>
        <w:keepLines/>
        <w:numPr>
          <w:ilvl w:val="0"/>
          <w:numId w:val="2"/>
        </w:numPr>
        <w:spacing w:after="60" w:line="264"/>
      </w:pPr>
      <w:r>
        <w:rPr>
          <w:rFonts w:ascii="Nunito" w:cs="Nunito" w:eastAsia="Nunito" w:hAnsi="Nunito"/>
          <w:color w:val="1D2433"/>
          <w:sz w:val="20"/>
          <w:szCs w:val="20"/>
        </w:rPr>
        <w:t xml:space="preserve">annoncer une décision défavorable avec tact et orienter l'assuré ;</w:t>
      </w:r>
    </w:p>
    <w:p>
      <w:pPr>
        <w:pStyle w:val="ListParagraph"/>
        <w:keepLines/>
        <w:numPr>
          <w:ilvl w:val="0"/>
          <w:numId w:val="2"/>
        </w:numPr>
        <w:spacing w:after="60" w:line="264"/>
      </w:pPr>
      <w:r>
        <w:rPr>
          <w:rFonts w:ascii="Nunito" w:cs="Nunito" w:eastAsia="Nunito" w:hAnsi="Nunito"/>
          <w:color w:val="1D2433"/>
          <w:sz w:val="20"/>
          <w:szCs w:val="20"/>
        </w:rPr>
        <w:t xml:space="preserve">rédiger une décision de rejet claire, motivée et mentionnant les voies de recours.</w:t>
      </w:r>
    </w:p>
    <w:p>
      <w:pPr>
        <w:pStyle w:val="Heading2"/>
        <w:keepNext/>
        <w:spacing w:after="100" w:before="240"/>
      </w:pPr>
      <w:r>
        <w:rPr>
          <w:rFonts w:ascii="Fraunces" w:cs="Fraunces" w:eastAsia="Fraunces" w:hAnsi="Fraunces"/>
          <w:b/>
          <w:bCs/>
          <w:color w:val="0D2B56"/>
          <w:sz w:val="25"/>
          <w:szCs w:val="25"/>
        </w:rPr>
        <w:t xml:space="preserve">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000"/>
        <w:gridCol w:w="2138"/>
        <w:gridCol w:w="2100"/>
      </w:tblGrid>
      <w:tr>
        <w:trPr>
          <w:cantSplit/>
          <w:tblHeader/>
        </w:trPr>
        <w:tc>
          <w:tcPr>
            <w:tcW w:type="dxa" w:w="8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Séq.</w:t>
            </w:r>
          </w:p>
        </w:tc>
        <w:tc>
          <w:tcPr>
            <w:tcW w:type="dxa" w:w="36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Contenu</w:t>
            </w:r>
          </w:p>
        </w:tc>
        <w:tc>
          <w:tcPr>
            <w:tcW w:type="dxa" w:w="10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Durée</w:t>
            </w:r>
          </w:p>
        </w:tc>
        <w:tc>
          <w:tcPr>
            <w:tcW w:type="dxa" w:w="21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Modalité</w:t>
            </w:r>
          </w:p>
        </w:tc>
        <w:tc>
          <w:tcPr>
            <w:tcW w:type="dxa" w:w="21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Supports</w:t>
            </w:r>
          </w:p>
        </w:tc>
      </w:tr>
      <w:tr>
        <w:trPr>
          <w:cantSplit/>
          <w:tblHeader w:val="off"/>
        </w:trPr>
        <w:tc>
          <w:tcPr>
            <w:tcW w:type="dxa" w:w="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Ouverture</w:t>
            </w:r>
          </w:p>
        </w:tc>
        <w:tc>
          <w:tcPr>
            <w:tcW w:type="dxa" w:w="3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Présentation du déroulé de la journée</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10 min</w:t>
            </w:r>
          </w:p>
        </w:tc>
        <w:tc>
          <w:tcPr>
            <w:tcW w:type="dxa" w:w="2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Plénière</w:t>
            </w:r>
          </w:p>
        </w:tc>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w:t>
            </w:r>
          </w:p>
        </w:tc>
      </w:tr>
      <w:tr>
        <w:trPr>
          <w:cantSplit/>
          <w:tblHeader w:val="off"/>
        </w:trPr>
        <w:tc>
          <w:tcPr>
            <w:tcW w:type="dxa" w:w="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w:t>
            </w:r>
          </w:p>
        </w:tc>
        <w:tc>
          <w:tcPr>
            <w:tcW w:type="dxa" w:w="3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Les règles de la réversion : régime général et Agirc-Arrco</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50 min</w:t>
            </w:r>
          </w:p>
        </w:tc>
        <w:tc>
          <w:tcPr>
            <w:tcW w:type="dxa" w:w="2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Apport + questionnement</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Book</w:t>
            </w:r>
          </w:p>
        </w:tc>
      </w:tr>
      <w:tr>
        <w:trPr>
          <w:cantSplit/>
          <w:tblHeader w:val="off"/>
        </w:trPr>
        <w:tc>
          <w:tcPr>
            <w:tcW w:type="dxa" w:w="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2</w:t>
            </w:r>
          </w:p>
        </w:tc>
        <w:tc>
          <w:tcPr>
            <w:tcW w:type="dxa" w:w="3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Lire un dossier de réversion</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30 min</w:t>
            </w:r>
          </w:p>
        </w:tc>
        <w:tc>
          <w:tcPr>
            <w:tcW w:type="dxa" w:w="2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Binômes</w:t>
            </w:r>
          </w:p>
        </w:tc>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PDF Séquence 3 (pièces 1 à 5)</w:t>
            </w:r>
          </w:p>
        </w:tc>
      </w:tr>
      <w:tr>
        <w:trPr>
          <w:cantSplit/>
          <w:tblHeader w:val="off"/>
        </w:trPr>
        <w:tc>
          <w:tcPr>
            <w:tcW w:type="dxa" w:w="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3</w:t>
            </w:r>
          </w:p>
        </w:tc>
        <w:tc>
          <w:tcPr>
            <w:tcW w:type="dxa" w:w="3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 dossier de Mme HAZEBROUCK</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 h 30</w:t>
            </w:r>
          </w:p>
        </w:tc>
        <w:tc>
          <w:tcPr>
            <w:tcW w:type="dxa" w:w="2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Binômes + exercice interactif</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PDF Séquence 3 + exercice HTML n°1</w:t>
            </w:r>
          </w:p>
        </w:tc>
      </w:tr>
      <w:tr>
        <w:trPr>
          <w:cantSplit/>
          <w:tblHeader w:val="off"/>
        </w:trPr>
        <w:tc>
          <w:tcPr>
            <w:tcW w:type="dxa" w:w="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4</w:t>
            </w:r>
          </w:p>
        </w:tc>
        <w:tc>
          <w:tcPr>
            <w:tcW w:type="dxa" w:w="3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 dossier de Mme KACI : ex-épouse et partage</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 h 15</w:t>
            </w:r>
          </w:p>
        </w:tc>
        <w:tc>
          <w:tcPr>
            <w:tcW w:type="dxa" w:w="2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Binômes + exercice interactif</w:t>
            </w:r>
          </w:p>
        </w:tc>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PDF Séquence 4 + exercice HTML n°2</w:t>
            </w:r>
          </w:p>
        </w:tc>
      </w:tr>
      <w:tr>
        <w:trPr>
          <w:cantSplit/>
          <w:tblHeader w:val="off"/>
        </w:trPr>
        <w:tc>
          <w:tcPr>
            <w:tcW w:type="dxa" w:w="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w:t>
            </w:r>
          </w:p>
        </w:tc>
        <w:tc>
          <w:tcPr>
            <w:tcW w:type="dxa" w:w="3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Mise en situation : annoncer une décision difficile</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 h</w:t>
            </w:r>
          </w:p>
        </w:tc>
        <w:tc>
          <w:tcPr>
            <w:tcW w:type="dxa" w:w="2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Binômes, rôles inversés</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PDF Séquence 5</w:t>
            </w:r>
          </w:p>
        </w:tc>
      </w:tr>
      <w:tr>
        <w:trPr>
          <w:cantSplit/>
          <w:tblHeader w:val="off"/>
        </w:trPr>
        <w:tc>
          <w:tcPr>
            <w:tcW w:type="dxa" w:w="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w:t>
            </w:r>
          </w:p>
        </w:tc>
        <w:tc>
          <w:tcPr>
            <w:tcW w:type="dxa" w:w="3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Rédiger une décision de rejet</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45 min</w:t>
            </w:r>
          </w:p>
        </w:tc>
        <w:tc>
          <w:tcPr>
            <w:tcW w:type="dxa" w:w="2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Rédaction + relecture croisée</w:t>
            </w:r>
          </w:p>
        </w:tc>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Book</w:t>
            </w:r>
          </w:p>
        </w:tc>
      </w:tr>
      <w:tr>
        <w:trPr>
          <w:cantSplit/>
          <w:tblHeader w:val="off"/>
        </w:trPr>
        <w:tc>
          <w:tcPr>
            <w:tcW w:type="dxa" w:w="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7</w:t>
            </w:r>
          </w:p>
        </w:tc>
        <w:tc>
          <w:tcPr>
            <w:tcW w:type="dxa" w:w="36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Synthèse de la journée</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30 min</w:t>
            </w:r>
          </w:p>
        </w:tc>
        <w:tc>
          <w:tcPr>
            <w:tcW w:type="dxa" w:w="2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Exercice interactif</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Exercice HTML n°3</w:t>
            </w:r>
          </w:p>
        </w:tc>
      </w:tr>
      <w:tr>
        <w:trPr>
          <w:cantSplit/>
          <w:tblHeader w:val="off"/>
        </w:trPr>
        <w:tc>
          <w:tcPr>
            <w:tcW w:type="dxa" w:w="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36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b/>
                <w:bCs/>
                <w:color w:val="1D2433"/>
                <w:sz w:val="18"/>
                <w:szCs w:val="18"/>
              </w:rPr>
              <w:t xml:space="preserve">Total temps de travail effectif</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b/>
                <w:bCs/>
                <w:color w:val="1D2433"/>
                <w:sz w:val="18"/>
                <w:szCs w:val="18"/>
              </w:rPr>
              <w:t xml:space="preserve">6 h 30</w:t>
            </w:r>
          </w:p>
        </w:tc>
        <w:tc>
          <w:tcPr>
            <w:tcW w:type="dxa" w:w="2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21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1 — Les règles de la réversion</w:t>
      </w:r>
    </w:p>
    <w:p>
      <w:pPr>
        <w:keepLines/>
        <w:spacing w:after="100" w:line="276"/>
      </w:pPr>
      <w:r>
        <w:rPr>
          <w:rFonts w:ascii="Nunito" w:cs="Nunito" w:eastAsia="Nunito" w:hAnsi="Nunito"/>
          <w:b/>
          <w:bCs/>
          <w:color w:val="1D2433"/>
          <w:sz w:val="20"/>
          <w:szCs w:val="20"/>
        </w:rPr>
        <w:t xml:space="preserve">Durée : 50 min</w:t>
      </w:r>
      <w:r>
        <w:rPr>
          <w:rFonts w:ascii="Nunito" w:cs="Nunito" w:eastAsia="Nunito" w:hAnsi="Nunito"/>
          <w:color w:val="1D2433"/>
          <w:sz w:val="20"/>
          <w:szCs w:val="20"/>
        </w:rPr>
        <w:t xml:space="preserve"> · Apport (35 min), questions (15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cantSplit/>
          <w:tblHeader/>
        </w:trPr>
        <w:tc>
          <w:tcPr>
            <w:tcW w:type="dxa" w:w="20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p>
        </w:tc>
        <w:tc>
          <w:tcPr>
            <w:tcW w:type="dxa" w:w="40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Régime général</w:t>
            </w:r>
          </w:p>
        </w:tc>
        <w:tc>
          <w:tcPr>
            <w:tcW w:type="dxa" w:w="36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Agirc-Arrco</w:t>
            </w:r>
          </w:p>
        </w:tc>
      </w:tr>
      <w:tr>
        <w:trPr>
          <w:cantSplit/>
          <w:tblHeader w:val="off"/>
        </w:trPr>
        <w:tc>
          <w:tcPr>
            <w:tcW w:type="dxa" w:w="2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Qui peut en bénéficier ?</w:t>
            </w:r>
          </w:p>
        </w:tc>
        <w:tc>
          <w:tcPr>
            <w:tcW w:type="dxa" w:w="4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Conjoint survivant ou ex-conjoint divorcé (mariage obligatoire ; PACS et concubinage exclus)</w:t>
            </w:r>
          </w:p>
        </w:tc>
        <w:tc>
          <w:tcPr>
            <w:tcW w:type="dxa" w:w="3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Conjoint survivant ou ex-conjoint divorcé (mariage obligatoire ; PACS et concubinage exclus)</w:t>
            </w:r>
          </w:p>
        </w:tc>
      </w:tr>
      <w:tr>
        <w:trPr>
          <w:cantSplit/>
          <w:tblHeader w:val="off"/>
        </w:trPr>
        <w:tc>
          <w:tcPr>
            <w:tcW w:type="dxa" w:w="2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Âge minimum</w:t>
            </w:r>
          </w:p>
        </w:tc>
        <w:tc>
          <w:tcPr>
            <w:tcW w:type="dxa" w:w="4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55 ans</w:t>
            </w:r>
          </w:p>
        </w:tc>
        <w:tc>
          <w:tcPr>
            <w:tcW w:type="dxa" w:w="3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55 ans (sans condition d'âge dans certains cas : deux enfants à charge, invalidité)</w:t>
            </w:r>
          </w:p>
        </w:tc>
      </w:tr>
      <w:tr>
        <w:trPr>
          <w:cantSplit/>
          <w:tblHeader w:val="off"/>
        </w:trPr>
        <w:tc>
          <w:tcPr>
            <w:tcW w:type="dxa" w:w="2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Montant</w:t>
            </w:r>
          </w:p>
        </w:tc>
        <w:tc>
          <w:tcPr>
            <w:tcW w:type="dxa" w:w="4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54 % de la retraite de base du défunt</w:t>
            </w:r>
          </w:p>
        </w:tc>
        <w:tc>
          <w:tcPr>
            <w:tcW w:type="dxa" w:w="3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60 % des points du défunt</w:t>
            </w:r>
          </w:p>
        </w:tc>
      </w:tr>
      <w:tr>
        <w:trPr>
          <w:cantSplit/>
          <w:tblHeader w:val="off"/>
        </w:trPr>
        <w:tc>
          <w:tcPr>
            <w:tcW w:type="dxa" w:w="2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Ressources</w:t>
            </w:r>
          </w:p>
        </w:tc>
        <w:tc>
          <w:tcPr>
            <w:tcW w:type="dxa" w:w="4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Plafond annuel : 2 080 × SMIC horaire au 1er janvier, soit 25 001,60 € (personne seule) et 40 002,56 € (couple) en 2026. Au-delà, la réversion est réduite du dépassement</w:t>
            </w:r>
          </w:p>
        </w:tc>
        <w:tc>
          <w:tcPr>
            <w:tcW w:type="dxa" w:w="3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Aucune condition de ressources</w:t>
            </w:r>
          </w:p>
        </w:tc>
      </w:tr>
      <w:tr>
        <w:trPr>
          <w:cantSplit/>
          <w:tblHeader w:val="off"/>
        </w:trPr>
        <w:tc>
          <w:tcPr>
            <w:tcW w:type="dxa" w:w="2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Remariage du survivant</w:t>
            </w:r>
          </w:p>
        </w:tc>
        <w:tc>
          <w:tcPr>
            <w:tcW w:type="dxa" w:w="4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Sans effet sur le droit (mais les ressources du couple sont alors prises en compte)</w:t>
            </w:r>
          </w:p>
        </w:tc>
        <w:tc>
          <w:tcPr>
            <w:tcW w:type="dxa" w:w="3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 remariage supprime le droit</w:t>
            </w:r>
          </w:p>
        </w:tc>
      </w:tr>
      <w:tr>
        <w:trPr>
          <w:cantSplit/>
          <w:tblHeader w:val="off"/>
        </w:trPr>
        <w:tc>
          <w:tcPr>
            <w:tcW w:type="dxa" w:w="2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Plusieurs conjoints</w:t>
            </w:r>
          </w:p>
        </w:tc>
        <w:tc>
          <w:tcPr>
            <w:tcW w:type="dxa" w:w="4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Partage au prorata des durées de mariage</w:t>
            </w:r>
          </w:p>
        </w:tc>
        <w:tc>
          <w:tcPr>
            <w:tcW w:type="dxa" w:w="36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Partage au prorata des durées de mariage, entre conjoints et ex-conjoints non remariés</w:t>
            </w:r>
          </w:p>
        </w:tc>
      </w:tr>
      <w:tr>
        <w:trPr>
          <w:cantSplit/>
          <w:tblHeader w:val="off"/>
        </w:trPr>
        <w:tc>
          <w:tcPr>
            <w:tcW w:type="dxa" w:w="2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Date d'effet</w:t>
            </w:r>
          </w:p>
        </w:tc>
        <w:tc>
          <w:tcPr>
            <w:tcW w:type="dxa" w:w="4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 1er jour du mois suivant le décès si la demande est faite dans les 12 mois ; sinon, le 1er jour du mois suivant la demande</w:t>
            </w:r>
          </w:p>
        </w:tc>
        <w:tc>
          <w:tcPr>
            <w:tcW w:type="dxa" w:w="36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En principe le 1er jour du mois suivant le décès</w:t>
            </w:r>
          </w:p>
        </w:tc>
      </w:tr>
    </w:tbl>
    <w:p>
      <w:pPr>
        <w:spacing w:after="80"/>
      </w:pPr>
    </w:p>
    <w:p>
      <w:pPr>
        <w:pStyle w:val="Heading2"/>
        <w:keepNext/>
        <w:spacing w:after="100" w:before="240"/>
      </w:pPr>
      <w:r>
        <w:rPr>
          <w:rFonts w:ascii="Fraunces" w:cs="Fraunces" w:eastAsia="Fraunces" w:hAnsi="Fraunces"/>
          <w:b/>
          <w:bCs/>
          <w:color w:val="0D2B56"/>
          <w:sz w:val="25"/>
          <w:szCs w:val="25"/>
        </w:rPr>
        <w:t xml:space="preserve">Les ressources du régime général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p>
        </w:tc>
        <w:tc>
          <w:tcPr>
            <w:tcW w:type="dxa" w:w="78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Règle</w:t>
            </w:r>
          </w:p>
        </w:tc>
      </w:tr>
      <w:tr>
        <w:trPr>
          <w:cantSplit/>
          <w:tblHeader w:val="off"/>
        </w:trPr>
        <w:tc>
          <w:tcPr>
            <w:tcW w:type="dxa" w:w="1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Pris en compte</w:t>
            </w:r>
          </w:p>
        </w:tc>
        <w:tc>
          <w:tcPr>
            <w:tcW w:type="dxa" w:w="7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Retraites personnelles (base et complémentaires) · 70 % des revenus d'activité (survivant de 55 ans ou plus) · revenus des biens propres du survivant (loyers d'un bien reçu de ses parents, par exemple)</w:t>
            </w:r>
          </w:p>
        </w:tc>
      </w:tr>
      <w:tr>
        <w:trPr>
          <w:cantSplit/>
          <w:tblHeader w:val="off"/>
        </w:trPr>
        <w:tc>
          <w:tcPr>
            <w:tcW w:type="dxa" w:w="1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Exclus</w:t>
            </w:r>
          </w:p>
        </w:tc>
        <w:tc>
          <w:tcPr>
            <w:tcW w:type="dxa" w:w="7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La réversion complémentaire · les biens de la communauté du couple et ceux reçus du défunt (dont la résidence principale commune) · les majorations pour enfants</w:t>
            </w:r>
          </w:p>
        </w:tc>
      </w:tr>
      <w:tr>
        <w:trPr>
          <w:cantSplit/>
          <w:tblHeader w:val="off"/>
        </w:trPr>
        <w:tc>
          <w:tcPr>
            <w:tcW w:type="dxa" w:w="1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Période</w:t>
            </w:r>
          </w:p>
        </w:tc>
        <w:tc>
          <w:tcPr>
            <w:tcW w:type="dxa" w:w="7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Les 3 mois précédant la date d'effet ; s'ils dépassent le quart du plafond, les 12 derniers mois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F7EF" w:sz="4"/>
              <w:left w:val="single" w:color="C8A96B" w:sz="24"/>
              <w:bottom w:val="single" w:color="FBF7EF" w:sz="4"/>
              <w:right w:val="single" w:color="FBF7EF" w:sz="4"/>
            </w:tcBorders>
            <w:shd w:fill="FBF7EF" w:color="auto" w:val="clear"/>
            <w:tcMar>
              <w:top w:type="dxa" w:w="100"/>
              <w:left w:type="dxa" w:w="180"/>
              <w:bottom w:type="dxa" w:w="100"/>
              <w:right w:type="dxa" w:w="160"/>
            </w:tcMar>
          </w:tcPr>
          <w:p>
            <w:pPr>
              <w:keepNext/>
              <w:spacing w:after="60"/>
            </w:pPr>
            <w:r>
              <w:rPr>
                <w:rFonts w:ascii="Nunito" w:cs="Nunito" w:eastAsia="Nunito" w:hAnsi="Nunito"/>
                <w:b/>
                <w:bCs/>
                <w:color w:val="8A6A2C"/>
                <w:sz w:val="17"/>
                <w:szCs w:val="17"/>
              </w:rPr>
              <w:t xml:space="preserve">À RETENIR</w:t>
            </w:r>
          </w:p>
          <w:p>
            <w:pPr>
              <w:keepNext/>
              <w:keepLines/>
              <w:spacing w:after="60" w:line="264"/>
            </w:pPr>
            <w:r>
              <w:rPr>
                <w:rFonts w:ascii="Nunito" w:cs="Nunito" w:eastAsia="Nunito" w:hAnsi="Nunito"/>
                <w:color w:val="1D2433"/>
                <w:sz w:val="19"/>
                <w:szCs w:val="19"/>
              </w:rPr>
              <w:t xml:space="preserve">Deux régimes, </w:t>
            </w:r>
            <w:r>
              <w:rPr>
                <w:rFonts w:ascii="Nunito" w:cs="Nunito" w:eastAsia="Nunito" w:hAnsi="Nunito"/>
                <w:b/>
                <w:bCs/>
                <w:color w:val="1D2433"/>
                <w:sz w:val="19"/>
                <w:szCs w:val="19"/>
              </w:rPr>
              <w:t xml:space="preserve">deux logiques</w:t>
            </w:r>
            <w:r>
              <w:rPr>
                <w:rFonts w:ascii="Nunito" w:cs="Nunito" w:eastAsia="Nunito" w:hAnsi="Nunito"/>
                <w:color w:val="1D2433"/>
                <w:sz w:val="19"/>
                <w:szCs w:val="19"/>
              </w:rPr>
              <w:t xml:space="preserve"> : le régime général regarde les ressources, l'Agirc-Arrco regarde le remariage.</w:t>
            </w:r>
          </w:p>
          <w:p>
            <w:pPr>
              <w:keepNext/>
              <w:keepLines/>
              <w:spacing w:after="60" w:line="264"/>
            </w:pPr>
            <w:r>
              <w:rPr>
                <w:rFonts w:ascii="Nunito" w:cs="Nunito" w:eastAsia="Nunito" w:hAnsi="Nunito"/>
                <w:color w:val="1D2433"/>
                <w:sz w:val="19"/>
                <w:szCs w:val="19"/>
              </w:rPr>
              <w:t xml:space="preserve">Une personne pacsée ou en concubinage n'a </w:t>
            </w:r>
            <w:r>
              <w:rPr>
                <w:rFonts w:ascii="Nunito" w:cs="Nunito" w:eastAsia="Nunito" w:hAnsi="Nunito"/>
                <w:b/>
                <w:bCs/>
                <w:color w:val="1D2433"/>
                <w:sz w:val="19"/>
                <w:szCs w:val="19"/>
              </w:rPr>
              <w:t xml:space="preserve">aucun droit</w:t>
            </w:r>
            <w:r>
              <w:rPr>
                <w:rFonts w:ascii="Nunito" w:cs="Nunito" w:eastAsia="Nunito" w:hAnsi="Nunito"/>
                <w:color w:val="1D2433"/>
                <w:sz w:val="19"/>
                <w:szCs w:val="19"/>
              </w:rPr>
              <w:t xml:space="preserve"> à réversion, quelle que soit la durée de la vie commune.</w:t>
            </w:r>
          </w:p>
          <w:p>
            <w:pPr>
              <w:keepNext/>
              <w:keepLines/>
              <w:spacing w:after="60" w:line="264"/>
            </w:pPr>
            <w:r>
              <w:rPr>
                <w:rFonts w:ascii="Nunito" w:cs="Nunito" w:eastAsia="Nunito" w:hAnsi="Nunito"/>
                <w:color w:val="1D2433"/>
                <w:sz w:val="19"/>
                <w:szCs w:val="19"/>
              </w:rPr>
              <w:t xml:space="preserve">Un survivant de moins de 55 ans peut, sous conditions, relever de l'allocation veuvage : à orienter.</w:t>
            </w:r>
          </w:p>
        </w:tc>
      </w:tr>
    </w:tbl>
    <w:p>
      <w:pPr>
        <w:keepNext/>
        <w:keepLines/>
        <w:spacing w:after="100" w:line="276"/>
      </w:pPr>
      <w:r>
        <w:rPr>
          <w:rFonts w:ascii="Nunito" w:cs="Nunito" w:eastAsia="Nunito" w:hAnsi="Nunito"/>
          <w:b/>
          <w:bCs/>
          <w:color w:val="1D2433"/>
          <w:sz w:val="20"/>
          <w:szCs w:val="20"/>
        </w:rPr>
        <w:t xml:space="preserve">1.</w:t>
      </w:r>
      <w:r>
        <w:rPr>
          <w:rFonts w:ascii="Nunito" w:cs="Nunito" w:eastAsia="Nunito" w:hAnsi="Nunito"/>
          <w:color w:val="1D2433"/>
          <w:sz w:val="20"/>
          <w:szCs w:val="20"/>
        </w:rPr>
        <w:t xml:space="preserve"> Une veuve de 52 ans peut-elle obtenir une réversion du régime général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8" w:sz="4"/>
              <w:left w:val="single" w:color="9AA5B8" w:sz="4"/>
              <w:bottom w:val="single" w:color="9AA5B8" w:sz="4"/>
              <w:right w:val="single" w:color="9AA5B8" w:sz="4"/>
            </w:tcBorders>
          </w:tcPr>
          <w:p>
            <w:pPr>
              <w:pBdr>
                <w:bottom w:val="dotted" w:color="C9D3E3" w:sz="4" w:space="1"/>
              </w:pBdr>
              <w:spacing w:after="0" w:line="420"/>
            </w:pPr>
          </w:p>
          <w:p>
            <w:pPr>
              <w:pBdr>
                <w:bottom w:val="dotted" w:color="C9D3E3" w:sz="4" w:space="1"/>
              </w:pBdr>
              <w:spacing w:after="0" w:line="420"/>
            </w:pPr>
          </w:p>
        </w:tc>
      </w:tr>
    </w:tbl>
    <w:p>
      <w:pPr>
        <w:keepNext/>
        <w:keepLines/>
        <w:spacing w:after="100" w:line="276"/>
      </w:pPr>
      <w:r>
        <w:rPr>
          <w:rFonts w:ascii="Nunito" w:cs="Nunito" w:eastAsia="Nunito" w:hAnsi="Nunito"/>
          <w:b/>
          <w:bCs/>
          <w:color w:val="1D2433"/>
          <w:sz w:val="20"/>
          <w:szCs w:val="20"/>
        </w:rPr>
        <w:t xml:space="preserve">2.</w:t>
      </w:r>
      <w:r>
        <w:rPr>
          <w:rFonts w:ascii="Nunito" w:cs="Nunito" w:eastAsia="Nunito" w:hAnsi="Nunito"/>
          <w:color w:val="1D2433"/>
          <w:sz w:val="20"/>
          <w:szCs w:val="20"/>
        </w:rPr>
        <w:t xml:space="preserve"> Une veuve remariée garde-t-elle sa réversion complémentaire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8" w:sz="4"/>
              <w:left w:val="single" w:color="9AA5B8" w:sz="4"/>
              <w:bottom w:val="single" w:color="9AA5B8" w:sz="4"/>
              <w:right w:val="single" w:color="9AA5B8" w:sz="4"/>
            </w:tcBorders>
          </w:tcPr>
          <w:p>
            <w:pPr>
              <w:pBdr>
                <w:bottom w:val="dotted" w:color="C9D3E3" w:sz="4" w:space="1"/>
              </w:pBdr>
              <w:spacing w:after="0" w:line="420"/>
            </w:pPr>
          </w:p>
          <w:p>
            <w:pPr>
              <w:pBdr>
                <w:bottom w:val="dotted" w:color="C9D3E3" w:sz="4" w:space="1"/>
              </w:pBdr>
              <w:spacing w:after="0" w:line="420"/>
            </w:pPr>
          </w:p>
        </w:tc>
      </w:tr>
    </w:tbl>
    <w:p>
      <w:pPr>
        <w:keepNext/>
        <w:keepLines/>
        <w:spacing w:after="100" w:line="276"/>
      </w:pPr>
      <w:r>
        <w:rPr>
          <w:rFonts w:ascii="Nunito" w:cs="Nunito" w:eastAsia="Nunito" w:hAnsi="Nunito"/>
          <w:b/>
          <w:bCs/>
          <w:color w:val="1D2433"/>
          <w:sz w:val="20"/>
          <w:szCs w:val="20"/>
        </w:rPr>
        <w:t xml:space="preserve">3.</w:t>
      </w:r>
      <w:r>
        <w:rPr>
          <w:rFonts w:ascii="Nunito" w:cs="Nunito" w:eastAsia="Nunito" w:hAnsi="Nunito"/>
          <w:color w:val="1D2433"/>
          <w:sz w:val="20"/>
          <w:szCs w:val="20"/>
        </w:rPr>
        <w:t xml:space="preserve"> Pourquoi la réversion complémentaire n'entre-t-elle pas dans les ressources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8" w:sz="4"/>
              <w:left w:val="single" w:color="9AA5B8" w:sz="4"/>
              <w:bottom w:val="single" w:color="9AA5B8" w:sz="4"/>
              <w:right w:val="single" w:color="9AA5B8" w:sz="4"/>
            </w:tcBorders>
          </w:tcPr>
          <w:p>
            <w:pPr>
              <w:pBdr>
                <w:bottom w:val="dotted" w:color="C9D3E3" w:sz="4" w:space="1"/>
              </w:pBdr>
              <w:spacing w:after="0" w:line="420"/>
            </w:pPr>
          </w:p>
          <w:p>
            <w:pPr>
              <w:pBdr>
                <w:bottom w:val="dotted" w:color="C9D3E3" w:sz="4" w:space="1"/>
              </w:pBdr>
              <w:spacing w:after="0" w:line="420"/>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2 — Lire un dossier de réversion</w:t>
      </w:r>
    </w:p>
    <w:p>
      <w:pPr>
        <w:keepLines/>
        <w:spacing w:after="100" w:line="276"/>
      </w:pPr>
      <w:r>
        <w:rPr>
          <w:rFonts w:ascii="Nunito" w:cs="Nunito" w:eastAsia="Nunito" w:hAnsi="Nunito"/>
          <w:b/>
          <w:bCs/>
          <w:color w:val="1D2433"/>
          <w:sz w:val="20"/>
          <w:szCs w:val="20"/>
        </w:rPr>
        <w:t xml:space="preserve">Durée : 30 min</w:t>
      </w:r>
      <w:r>
        <w:rPr>
          <w:rFonts w:ascii="Nunito" w:cs="Nunito" w:eastAsia="Nunito" w:hAnsi="Nunito"/>
          <w:color w:val="1D2433"/>
          <w:sz w:val="20"/>
          <w:szCs w:val="20"/>
        </w:rPr>
        <w:t xml:space="preserve"> · Binômes · PDF « Séquence 3 », pièces 1 à 5</w:t>
      </w:r>
    </w:p>
    <w:p>
      <w:pPr>
        <w:keepLines/>
        <w:spacing w:after="100" w:line="276"/>
      </w:pPr>
      <w:r>
        <w:rPr>
          <w:rFonts w:ascii="Nunito" w:cs="Nunito" w:eastAsia="Nunito" w:hAnsi="Nunito"/>
          <w:color w:val="1D2433"/>
          <w:sz w:val="20"/>
          <w:szCs w:val="20"/>
        </w:rPr>
        <w:t xml:space="preserve">Pour chaque pièce du dossier de Mme HAZEBROUCK : qui l'a émise, que prouve-t-elle, et quelles informations vous serviront au calcul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738"/>
      </w:tblGrid>
      <w:tr>
        <w:trPr>
          <w:cantSplit/>
          <w:tblHeader/>
        </w:trPr>
        <w:tc>
          <w:tcPr>
            <w:tcW w:type="dxa" w:w="29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Pièce</w:t>
            </w:r>
          </w:p>
        </w:tc>
        <w:tc>
          <w:tcPr>
            <w:tcW w:type="dxa" w:w="30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Émetteur</w:t>
            </w:r>
          </w:p>
        </w:tc>
        <w:tc>
          <w:tcPr>
            <w:tcW w:type="dxa" w:w="37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Ce qu'elle apporte</w:t>
            </w:r>
          </w:p>
        </w:tc>
      </w:tr>
      <w:tr>
        <w:trPr>
          <w:cantSplit/>
          <w:tblHeader w:val="off"/>
        </w:trPr>
        <w:tc>
          <w:tcPr>
            <w:tcW w:type="dxa" w:w="2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1 — Demande de réversion</w:t>
            </w:r>
          </w:p>
        </w:tc>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37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2 — Acte de décès</w:t>
            </w:r>
          </w:p>
        </w:tc>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37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3 — Attestation de paiement</w:t>
            </w:r>
          </w:p>
        </w:tc>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37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4 — Relevé de points</w:t>
            </w:r>
          </w:p>
        </w:tc>
        <w:tc>
          <w:tcPr>
            <w:tcW w:type="dxa" w:w="3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37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9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5 — Déclaration de ressources</w:t>
            </w:r>
          </w:p>
        </w:tc>
        <w:tc>
          <w:tcPr>
            <w:tcW w:type="dxa" w:w="3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37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3 — Le dossier de Mme HAZEBROUCK</w:t>
      </w:r>
    </w:p>
    <w:p>
      <w:pPr>
        <w:keepLines/>
        <w:spacing w:after="100" w:line="276"/>
      </w:pPr>
      <w:r>
        <w:rPr>
          <w:rFonts w:ascii="Nunito" w:cs="Nunito" w:eastAsia="Nunito" w:hAnsi="Nunito"/>
          <w:b/>
          <w:bCs/>
          <w:color w:val="1D2433"/>
          <w:sz w:val="20"/>
          <w:szCs w:val="20"/>
        </w:rPr>
        <w:t xml:space="preserve">Durée : 1 h 30</w:t>
      </w:r>
      <w:r>
        <w:rPr>
          <w:rFonts w:ascii="Nunito" w:cs="Nunito" w:eastAsia="Nunito" w:hAnsi="Nunito"/>
          <w:color w:val="1D2433"/>
          <w:sz w:val="20"/>
          <w:szCs w:val="20"/>
        </w:rPr>
        <w:t xml:space="preserve"> · Calcul en binôme (50 min), exercice interactif n°1 (20 min), correction (20 min)</w:t>
      </w:r>
    </w:p>
    <w:p>
      <w:pPr>
        <w:keepLines/>
        <w:spacing w:after="100" w:line="276"/>
      </w:pPr>
      <w:r>
        <w:rPr>
          <w:rFonts w:ascii="Nunito" w:cs="Nunito" w:eastAsia="Nunito" w:hAnsi="Nunito"/>
          <w:color w:val="1D2433"/>
          <w:sz w:val="20"/>
          <w:szCs w:val="20"/>
        </w:rPr>
        <w:t xml:space="preserve">Calculez la réversion de base et la réversion complémentaire de Mme HAZEBROUCK : date d'effet, ressources à retenir, comparaison au plafond, montants.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Élément</w:t>
            </w:r>
          </w:p>
        </w:tc>
        <w:tc>
          <w:tcPr>
            <w:tcW w:type="dxa" w:w="68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Votre résultat</w:t>
            </w:r>
          </w:p>
        </w:tc>
      </w:tr>
      <w:tr>
        <w:trPr>
          <w:cantSplit/>
          <w:tblHeader w:val="off"/>
        </w:trPr>
        <w:tc>
          <w:tcPr>
            <w:tcW w:type="dxa" w:w="2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Conditions</w:t>
            </w:r>
          </w:p>
        </w:tc>
        <w:tc>
          <w:tcPr>
            <w:tcW w:type="dxa" w:w="6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Date d'effet</w:t>
            </w:r>
          </w:p>
        </w:tc>
        <w:tc>
          <w:tcPr>
            <w:tcW w:type="dxa" w:w="6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Réversion théorique (base)</w:t>
            </w:r>
          </w:p>
        </w:tc>
        <w:tc>
          <w:tcPr>
            <w:tcW w:type="dxa" w:w="6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Ressources retenues</w:t>
            </w:r>
          </w:p>
        </w:tc>
        <w:tc>
          <w:tcPr>
            <w:tcW w:type="dxa" w:w="6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Comparaison au plafond</w:t>
            </w:r>
          </w:p>
        </w:tc>
        <w:tc>
          <w:tcPr>
            <w:tcW w:type="dxa" w:w="6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Réversion de base versée</w:t>
            </w:r>
          </w:p>
        </w:tc>
        <w:tc>
          <w:tcPr>
            <w:tcW w:type="dxa" w:w="6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Réversion complémentaire</w:t>
            </w:r>
          </w:p>
        </w:tc>
        <w:tc>
          <w:tcPr>
            <w:tcW w:type="dxa" w:w="6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4 — Le dossier de Mme KACI</w:t>
      </w:r>
    </w:p>
    <w:p>
      <w:pPr>
        <w:keepLines/>
        <w:spacing w:after="100" w:line="276"/>
      </w:pPr>
      <w:r>
        <w:rPr>
          <w:rFonts w:ascii="Nunito" w:cs="Nunito" w:eastAsia="Nunito" w:hAnsi="Nunito"/>
          <w:b/>
          <w:bCs/>
          <w:color w:val="1D2433"/>
          <w:sz w:val="20"/>
          <w:szCs w:val="20"/>
        </w:rPr>
        <w:t xml:space="preserve">Durée : 1 h 15</w:t>
      </w:r>
      <w:r>
        <w:rPr>
          <w:rFonts w:ascii="Nunito" w:cs="Nunito" w:eastAsia="Nunito" w:hAnsi="Nunito"/>
          <w:color w:val="1D2433"/>
          <w:sz w:val="20"/>
          <w:szCs w:val="20"/>
        </w:rPr>
        <w:t xml:space="preserve"> · Calcul en binôme (45 min), exercice interactif n°2 (15 min), correction (15 min) · PDF « Séquence 4 »</w:t>
      </w:r>
    </w:p>
    <w:p>
      <w:pPr>
        <w:keepLines/>
        <w:spacing w:after="100" w:line="276"/>
      </w:pPr>
      <w:r>
        <w:rPr>
          <w:rFonts w:ascii="Nunito" w:cs="Nunito" w:eastAsia="Nunito" w:hAnsi="Nunito"/>
          <w:color w:val="1D2433"/>
          <w:sz w:val="20"/>
          <w:szCs w:val="20"/>
        </w:rPr>
        <w:t xml:space="preserve">Mme KACI est l'ex-épouse de M. LEROY, qui s'était remarié. Calculez les durées de chaque mariage en mois entiers, la part de réversion de Mme KACI dans les deux régimes, puis vérifiez ses ressources.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Élément</w:t>
            </w:r>
          </w:p>
        </w:tc>
        <w:tc>
          <w:tcPr>
            <w:tcW w:type="dxa" w:w="68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Votre résultat</w:t>
            </w:r>
          </w:p>
        </w:tc>
      </w:tr>
      <w:tr>
        <w:trPr>
          <w:cantSplit/>
          <w:tblHeader w:val="off"/>
        </w:trPr>
        <w:tc>
          <w:tcPr>
            <w:tcW w:type="dxa" w:w="2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Conditions</w:t>
            </w:r>
          </w:p>
        </w:tc>
        <w:tc>
          <w:tcPr>
            <w:tcW w:type="dxa" w:w="6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Durées de mariage</w:t>
            </w:r>
          </w:p>
        </w:tc>
        <w:tc>
          <w:tcPr>
            <w:tcW w:type="dxa" w:w="6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Réversion de base totale</w:t>
            </w:r>
          </w:p>
        </w:tc>
        <w:tc>
          <w:tcPr>
            <w:tcW w:type="dxa" w:w="6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Part de Mme KACI</w:t>
            </w:r>
          </w:p>
        </w:tc>
        <w:tc>
          <w:tcPr>
            <w:tcW w:type="dxa" w:w="6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Ressources de Mme KACI</w:t>
            </w:r>
          </w:p>
        </w:tc>
        <w:tc>
          <w:tcPr>
            <w:tcW w:type="dxa" w:w="6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Réversion complémentaire</w:t>
            </w:r>
          </w:p>
        </w:tc>
        <w:tc>
          <w:tcPr>
            <w:tcW w:type="dxa" w:w="68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8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Et si elle s'était remariée ?</w:t>
            </w:r>
          </w:p>
        </w:tc>
        <w:tc>
          <w:tcPr>
            <w:tcW w:type="dxa" w:w="68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5 — Annoncer une décision difficile</w:t>
      </w:r>
    </w:p>
    <w:p>
      <w:pPr>
        <w:keepLines/>
        <w:spacing w:after="100" w:line="276"/>
      </w:pPr>
      <w:r>
        <w:rPr>
          <w:rFonts w:ascii="Nunito" w:cs="Nunito" w:eastAsia="Nunito" w:hAnsi="Nunito"/>
          <w:b/>
          <w:bCs/>
          <w:color w:val="1D2433"/>
          <w:sz w:val="20"/>
          <w:szCs w:val="20"/>
        </w:rPr>
        <w:t xml:space="preserve">Durée : 1 h</w:t>
      </w:r>
      <w:r>
        <w:rPr>
          <w:rFonts w:ascii="Nunito" w:cs="Nunito" w:eastAsia="Nunito" w:hAnsi="Nunito"/>
          <w:color w:val="1D2433"/>
          <w:sz w:val="20"/>
          <w:szCs w:val="20"/>
        </w:rPr>
        <w:t xml:space="preserve"> · Préparation (10 min), scénario A (15 min), scénario B rôles inversés (15 min), débriefing (20 min) · PDF « Séquence 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F7EF" w:sz="4"/>
              <w:left w:val="single" w:color="C8A96B" w:sz="24"/>
              <w:bottom w:val="single" w:color="FBF7EF" w:sz="4"/>
              <w:right w:val="single" w:color="FBF7EF" w:sz="4"/>
            </w:tcBorders>
            <w:shd w:fill="FBF7EF" w:color="auto" w:val="clear"/>
            <w:tcMar>
              <w:top w:type="dxa" w:w="100"/>
              <w:left w:type="dxa" w:w="180"/>
              <w:bottom w:type="dxa" w:w="100"/>
              <w:right w:type="dxa" w:w="160"/>
            </w:tcMar>
          </w:tcPr>
          <w:p>
            <w:pPr>
              <w:keepNext/>
              <w:spacing w:after="60"/>
            </w:pPr>
            <w:r>
              <w:rPr>
                <w:rFonts w:ascii="Nunito" w:cs="Nunito" w:eastAsia="Nunito" w:hAnsi="Nunito"/>
                <w:b/>
                <w:bCs/>
                <w:color w:val="8A6A2C"/>
                <w:sz w:val="17"/>
                <w:szCs w:val="17"/>
              </w:rPr>
              <w:t xml:space="preserve">TROIS TEMPS POUR UNE ANNONCE DIFFICILE</w:t>
            </w:r>
          </w:p>
          <w:p>
            <w:pPr>
              <w:keepNext/>
              <w:keepLines/>
              <w:spacing w:after="60" w:line="264"/>
            </w:pPr>
            <w:r>
              <w:rPr>
                <w:rFonts w:ascii="Nunito" w:cs="Nunito" w:eastAsia="Nunito" w:hAnsi="Nunito"/>
                <w:b/>
                <w:bCs/>
                <w:color w:val="1D2433"/>
                <w:sz w:val="19"/>
                <w:szCs w:val="19"/>
              </w:rPr>
              <w:t xml:space="preserve">Accueillir</w:t>
            </w:r>
            <w:r>
              <w:rPr>
                <w:rFonts w:ascii="Nunito" w:cs="Nunito" w:eastAsia="Nunito" w:hAnsi="Nunito"/>
                <w:color w:val="1D2433"/>
                <w:sz w:val="19"/>
                <w:szCs w:val="19"/>
              </w:rPr>
              <w:t xml:space="preserve"> : condoléances, reformulation, patience face à l'émotion.</w:t>
            </w:r>
          </w:p>
          <w:p>
            <w:pPr>
              <w:keepNext/>
              <w:keepLines/>
              <w:spacing w:after="60" w:line="264"/>
            </w:pPr>
            <w:r>
              <w:rPr>
                <w:rFonts w:ascii="Nunito" w:cs="Nunito" w:eastAsia="Nunito" w:hAnsi="Nunito"/>
                <w:b/>
                <w:bCs/>
                <w:color w:val="1D2433"/>
                <w:sz w:val="19"/>
                <w:szCs w:val="19"/>
              </w:rPr>
              <w:t xml:space="preserve">Expliquer</w:t>
            </w:r>
            <w:r>
              <w:rPr>
                <w:rFonts w:ascii="Nunito" w:cs="Nunito" w:eastAsia="Nunito" w:hAnsi="Nunito"/>
                <w:color w:val="1D2433"/>
                <w:sz w:val="19"/>
                <w:szCs w:val="19"/>
              </w:rPr>
              <w:t xml:space="preserve"> : la règle, puis son application au dossier, avec des chiffres simples.</w:t>
            </w:r>
          </w:p>
          <w:p>
            <w:pPr>
              <w:keepNext/>
              <w:keepLines/>
              <w:spacing w:after="60" w:line="264"/>
            </w:pPr>
            <w:r>
              <w:rPr>
                <w:rFonts w:ascii="Nunito" w:cs="Nunito" w:eastAsia="Nunito" w:hAnsi="Nunito"/>
                <w:b/>
                <w:bCs/>
                <w:color w:val="1D2433"/>
                <w:sz w:val="19"/>
                <w:szCs w:val="19"/>
              </w:rPr>
              <w:t xml:space="preserve">Ouvrir</w:t>
            </w:r>
            <w:r>
              <w:rPr>
                <w:rFonts w:ascii="Nunito" w:cs="Nunito" w:eastAsia="Nunito" w:hAnsi="Nunito"/>
                <w:color w:val="1D2433"/>
                <w:sz w:val="19"/>
                <w:szCs w:val="19"/>
              </w:rPr>
              <w:t xml:space="preserve"> : ce qui reste possible, les démarches, les délais, les voies de recours.</w:t>
            </w:r>
          </w:p>
        </w:tc>
      </w:tr>
    </w:tbl>
    <w:p>
      <w:pPr>
        <w:pStyle w:val="Heading2"/>
        <w:keepNext/>
        <w:spacing w:after="100" w:before="240"/>
      </w:pPr>
      <w:r>
        <w:rPr>
          <w:rFonts w:ascii="Fraunces" w:cs="Fraunces" w:eastAsia="Fraunces" w:hAnsi="Fraunces"/>
          <w:b/>
          <w:bCs/>
          <w:color w:val="0D2B56"/>
          <w:sz w:val="25"/>
          <w:szCs w:val="25"/>
        </w:rPr>
        <w:t xml:space="preserve">Grille d'observation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8"/>
        <w:gridCol w:w="1000"/>
        <w:gridCol w:w="1500"/>
      </w:tblGrid>
      <w:tr>
        <w:trPr>
          <w:cantSplit/>
          <w:tblHeader/>
        </w:trPr>
        <w:tc>
          <w:tcPr>
            <w:tcW w:type="dxa" w:w="7138"/>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Critère</w:t>
            </w:r>
          </w:p>
        </w:tc>
        <w:tc>
          <w:tcPr>
            <w:tcW w:type="dxa" w:w="10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Oui</w:t>
            </w:r>
          </w:p>
        </w:tc>
        <w:tc>
          <w:tcPr>
            <w:tcW w:type="dxa" w:w="1500"/>
            <w:tcBorders>
              <w:top w:val="single" w:color="C9D3E3" w:sz="4"/>
              <w:left w:val="single" w:color="C9D3E3" w:sz="4"/>
              <w:bottom w:val="single" w:color="C9D3E3" w:sz="4"/>
              <w:right w:val="single" w:color="C9D3E3" w:sz="4"/>
            </w:tcBorders>
            <w:shd w:fill="0D2B56" w:color="auto" w:val="clear"/>
            <w:tcMar>
              <w:top w:type="dxa" w:w="60"/>
              <w:left w:type="dxa" w:w="100"/>
              <w:bottom w:type="dxa" w:w="60"/>
              <w:right w:type="dxa" w:w="100"/>
            </w:tcMar>
          </w:tcPr>
          <w:p>
            <w:pPr>
              <w:spacing w:after="20" w:line="252"/>
            </w:pPr>
            <w:r>
              <w:rPr>
                <w:rFonts w:ascii="Nunito" w:cs="Nunito" w:eastAsia="Nunito" w:hAnsi="Nunito"/>
                <w:b/>
                <w:bCs/>
                <w:color w:val="FFFFFF"/>
                <w:sz w:val="18"/>
                <w:szCs w:val="18"/>
              </w:rPr>
              <w:t xml:space="preserve">À améliorer</w:t>
            </w:r>
          </w:p>
        </w:tc>
      </w:tr>
      <w:tr>
        <w:trPr>
          <w:cantSplit/>
          <w:tblHeader w:val="off"/>
        </w:trPr>
        <w:tc>
          <w:tcPr>
            <w:tcW w:type="dxa" w:w="7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L'émotion de l'assurée est accueillie avant toute explication</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L'identité est vérifiée</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La règle est expliquée simplement, sans jugement</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Le calcul ou la décision est justifié avec des éléments concrets</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Des pistes ou démarches sont proposées sans rien promettre</w:t>
            </w:r>
          </w:p>
        </w:tc>
        <w:tc>
          <w:tcPr>
            <w:tcW w:type="dxa" w:w="10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E8F1FC" w:color="auto" w:val="clear"/>
            <w:tcMar>
              <w:top w:type="dxa" w:w="60"/>
              <w:left w:type="dxa" w:w="100"/>
              <w:bottom w:type="dxa" w:w="60"/>
              <w:right w:type="dxa" w:w="100"/>
            </w:tcMar>
          </w:tcPr>
          <w:p>
            <w:pPr>
              <w:spacing w:after="20" w:line="252"/>
            </w:pPr>
          </w:p>
        </w:tc>
      </w:tr>
      <w:tr>
        <w:trPr>
          <w:cantSplit/>
          <w:tblHeader w:val="off"/>
        </w:trPr>
        <w:tc>
          <w:tcPr>
            <w:tcW w:type="dxa" w:w="7138"/>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r>
              <w:rPr>
                <w:rFonts w:ascii="Nunito" w:cs="Nunito" w:eastAsia="Nunito" w:hAnsi="Nunito"/>
                <w:color w:val="1D2433"/>
                <w:sz w:val="18"/>
                <w:szCs w:val="18"/>
              </w:rPr>
              <w:t xml:space="preserve">L'appel se conclut par la suite à donner</w:t>
            </w:r>
          </w:p>
        </w:tc>
        <w:tc>
          <w:tcPr>
            <w:tcW w:type="dxa" w:w="1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c>
          <w:tcPr>
            <w:tcW w:type="dxa" w:w="1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pPr>
              <w:spacing w:after="20" w:line="252"/>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6 — Rédiger une décision de rejet</w:t>
      </w:r>
    </w:p>
    <w:p>
      <w:pPr>
        <w:keepLines/>
        <w:spacing w:after="100" w:line="276"/>
      </w:pPr>
      <w:r>
        <w:rPr>
          <w:rFonts w:ascii="Nunito" w:cs="Nunito" w:eastAsia="Nunito" w:hAnsi="Nunito"/>
          <w:b/>
          <w:bCs/>
          <w:color w:val="1D2433"/>
          <w:sz w:val="20"/>
          <w:szCs w:val="20"/>
        </w:rPr>
        <w:t xml:space="preserve">Durée : 45 min</w:t>
      </w:r>
      <w:r>
        <w:rPr>
          <w:rFonts w:ascii="Nunito" w:cs="Nunito" w:eastAsia="Nunito" w:hAnsi="Nunito"/>
          <w:color w:val="1D2433"/>
          <w:sz w:val="20"/>
          <w:szCs w:val="20"/>
        </w:rPr>
        <w:t xml:space="preserve"> · Rédaction (25 min), relecture croisée (10 min), mise en commun (10 min)</w:t>
      </w:r>
    </w:p>
    <w:p>
      <w:pPr>
        <w:keepLines/>
        <w:spacing w:after="100" w:line="276"/>
      </w:pPr>
      <w:r>
        <w:rPr>
          <w:rFonts w:ascii="Nunito" w:cs="Nunito" w:eastAsia="Nunito" w:hAnsi="Nunito"/>
          <w:color w:val="1D2433"/>
          <w:sz w:val="20"/>
          <w:szCs w:val="20"/>
        </w:rPr>
        <w:t xml:space="preserve">Rédigez la décision de rejet adressée à Mme MARCHAND. Elle doit être claire, motivée par la règle, respectueuse, et mentionner les voies de recours.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A5B8" w:sz="4"/>
              <w:left w:val="single" w:color="9AA5B8" w:sz="4"/>
              <w:bottom w:val="single" w:color="9AA5B8" w:sz="4"/>
              <w:right w:val="single" w:color="9AA5B8" w:sz="4"/>
            </w:tcBorders>
          </w:tcPr>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p>
            <w:pPr>
              <w:pBdr>
                <w:bottom w:val="dotted" w:color="C9D3E3" w:sz="4" w:space="1"/>
              </w:pBdr>
              <w:spacing w:after="0" w:line="420"/>
            </w:pPr>
          </w:p>
        </w:tc>
      </w:tr>
    </w:tbl>
    <w:p>
      <w:r>
        <w:br w:type="page"/>
      </w:r>
    </w:p>
    <w:p>
      <w:pPr>
        <w:pStyle w:val="Heading1"/>
        <w:keepNext/>
        <w:pBdr>
          <w:bottom w:val="single" w:color="C8A96B" w:sz="12" w:space="4"/>
        </w:pBdr>
        <w:spacing w:after="160" w:before="120"/>
      </w:pPr>
      <w:r>
        <w:rPr>
          <w:rFonts w:ascii="Fraunces" w:cs="Fraunces" w:eastAsia="Fraunces" w:hAnsi="Fraunces"/>
          <w:b/>
          <w:bCs/>
          <w:color w:val="0D2B56"/>
          <w:sz w:val="32"/>
          <w:szCs w:val="32"/>
        </w:rPr>
        <w:t xml:space="preserve">Séquence 7 — Synthèse de la journée</w:t>
      </w:r>
    </w:p>
    <w:p>
      <w:pPr>
        <w:keepLines/>
        <w:spacing w:after="100" w:line="276"/>
      </w:pPr>
      <w:r>
        <w:rPr>
          <w:rFonts w:ascii="Nunito" w:cs="Nunito" w:eastAsia="Nunito" w:hAnsi="Nunito"/>
          <w:b/>
          <w:bCs/>
          <w:color w:val="1D2433"/>
          <w:sz w:val="20"/>
          <w:szCs w:val="20"/>
        </w:rPr>
        <w:t xml:space="preserve">Durée : 30 min</w:t>
      </w:r>
      <w:r>
        <w:rPr>
          <w:rFonts w:ascii="Nunito" w:cs="Nunito" w:eastAsia="Nunito" w:hAnsi="Nunito"/>
          <w:color w:val="1D2433"/>
          <w:sz w:val="20"/>
          <w:szCs w:val="20"/>
        </w:rPr>
        <w:t xml:space="preserve"> · Exercice interactif n°3 (20 min), retour collectif (10 min)</w:t>
      </w:r>
    </w:p>
    <w:p>
      <w:pPr>
        <w:keepLines/>
        <w:spacing w:after="100" w:line="276"/>
      </w:pPr>
      <w:r>
        <w:rPr>
          <w:rFonts w:ascii="Nunito" w:cs="Nunito" w:eastAsia="Nunito" w:hAnsi="Nunito"/>
          <w:color w:val="1D2433"/>
          <w:sz w:val="20"/>
          <w:szCs w:val="20"/>
        </w:rPr>
        <w:t xml:space="preserve">Douze questions sur la journée. Une réponse validée ne peut plus être modifiée ; vous pouvez relancer l'exercice.</w:t>
      </w:r>
    </w:p>
    <w:sectPr>
      <w:headerReference w:type="default" r:id="rId6"/>
      <w:footerReference w:type="default" r:id="rId7"/>
      <w:pgSz w:w="11906" w:h="16838" w:orient="portrait"/>
      <w:pgMar w:top="1300" w:right="1134" w:bottom="1000" w:left="1134"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unito" w:cs="Nunito" w:eastAsia="Nunito" w:hAnsi="Nunito"/>
        <w:color w:val="555555"/>
        <w:sz w:val="16"/>
        <w:szCs w:val="16"/>
      </w:rPr>
      <w:t xml:space="preserve">TMK Performances - N° Siret : 49841924100027 - Code NAF : 8559A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D2B56" w:color="auto" w:val="clear"/>
      <w:tabs>
        <w:tab w:val="right" w:pos="9638"/>
      </w:tabs>
      <w:spacing w:after="0"/>
    </w:pPr>
    <w:r>
      <w:rPr>
        <w:rFonts w:ascii="Fraunces" w:cs="Fraunces" w:eastAsia="Fraunces" w:hAnsi="Fraunces"/>
        <w:b/>
        <w:bCs/>
        <w:color w:val="FFFFFF"/>
        <w:sz w:val="20"/>
        <w:szCs w:val="20"/>
      </w:rPr>
      <w:t xml:space="preserve"> TMK Performances</w:t>
    </w:r>
    <w:r>
      <w:rPr>
        <w:rFonts w:ascii="Nunito" w:cs="Nunito" w:eastAsia="Nunito" w:hAnsi="Nunito"/>
        <w:color w:val="FFFFFF"/>
        <w:sz w:val="16"/>
        <w:szCs w:val="16"/>
      </w:rPr>
      <w:t xml:space="preserve">	Pratique professionnelle du gestionnaire retraite · J4 · Book stagiaire </w:t>
    </w:r>
  </w:p>
  <w:p>
    <w:pPr>
      <w:pBdr>
        <w:top w:val="single" w:color="C8A96B" w:sz="12" w:space="0"/>
      </w:pBdr>
      <w:shd w:fill="B3261E" w:color="auto" w:val="clear"/>
      <w:spacing w:after="120"/>
      <w:jc w:val="center"/>
    </w:pPr>
    <w:r>
      <w:rPr>
        <w:rFonts w:ascii="Nunito" w:cs="Nunito" w:eastAsia="Nunito" w:hAnsi="Nunito"/>
        <w:b/>
        <w:bCs/>
        <w:color w:val="FFFFFF"/>
        <w:sz w:val="14"/>
        <w:szCs w:val="14"/>
      </w:rPr>
      <w:t xml:space="preserve">DOCUMENT FICTIF À USAGE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C8A96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Pratique professionnelle du gestionnaire retraite — J4 — Book stagiaire</dc:title>
  <dc:creator>TMK Performances</dc:creator>
  <cp:lastModifiedBy>Un-named</cp:lastModifiedBy>
  <cp:revision>1</cp:revision>
  <dcterms:created xsi:type="dcterms:W3CDTF">2026-10-21T07:30:30.953Z</dcterms:created>
  <dcterms:modified xsi:type="dcterms:W3CDTF">2026-10-21T07:30:30.953Z</dcterms:modified>
</cp:coreProperties>
</file>

<file path=docProps/custom.xml><?xml version="1.0" encoding="utf-8"?>
<Properties xmlns="http://schemas.openxmlformats.org/officeDocument/2006/custom-properties" xmlns:vt="http://schemas.openxmlformats.org/officeDocument/2006/docPropsVTypes"/>
</file>