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</w:pPr>
      <w:r>
        <w:rPr>
          <w:rFonts w:ascii="Fraunces" w:cs="Fraunces" w:eastAsia="Fraunces" w:hAnsi="Fraunces"/>
          <w:b/>
          <w:bCs/>
          <w:color w:val="C8A96B"/>
          <w:sz w:val="30"/>
          <w:szCs w:val="30"/>
        </w:rPr>
        <w:t xml:space="preserve">TMK Performances</w:t>
      </w:r>
    </w:p>
    <w:p>
      <w:pPr>
        <w:spacing w:after="200"/>
      </w:pPr>
      <w:r>
        <w:rPr>
          <w:rFonts w:ascii="Fraunces" w:cs="Fraunces" w:eastAsia="Fraunces" w:hAnsi="Fraunces"/>
          <w:b/>
          <w:bCs/>
          <w:color w:val="0D2B56"/>
          <w:sz w:val="52"/>
          <w:szCs w:val="52"/>
        </w:rPr>
        <w:t xml:space="preserve">Pratique professionnelle du gestionnaire retraite</w:t>
      </w:r>
    </w:p>
    <w:p>
      <w:pPr>
        <w:pBdr>
          <w:bottom w:val="single" w:color="C8A96B" w:sz="12" w:space="8"/>
        </w:pBdr>
        <w:spacing w:after="360"/>
      </w:pPr>
      <w:r>
        <w:rPr>
          <w:rFonts w:ascii="Fraunces" w:cs="Fraunces" w:eastAsia="Fraunces" w:hAnsi="Fraunces"/>
          <w:color w:val="0F4C81"/>
          <w:sz w:val="34"/>
          <w:szCs w:val="34"/>
        </w:rPr>
        <w:t xml:space="preserve">Journée 3 — Carrières complexes et sources multiples</w:t>
      </w:r>
    </w:p>
    <w:p>
      <w:pPr>
        <w:spacing w:after="120"/>
      </w:pPr>
      <w:r>
        <w:rPr>
          <w:rFonts w:ascii="Nunito" w:cs="Nunito" w:eastAsia="Nunito" w:hAnsi="Nunito"/>
          <w:b/>
          <w:bCs/>
          <w:color w:val="0D2B56"/>
          <w:sz w:val="30"/>
          <w:szCs w:val="30"/>
        </w:rPr>
        <w:t xml:space="preserve">Book stagiaire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Gestionnaire en assurances — spécialité retraite / santé · Groupe TESSI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Bloc 2 · Module « La pratique professionnelle du gestionnaire retraite » (35 h) · Durée de la journée : 6 h 30 de travail effectif</w:t>
      </w:r>
    </w:p>
    <w:p>
      <w:pPr>
        <w:spacing w:after="6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DOCUMENT FICTIF À USAGE PÉDAGOGIQUE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Les personnes, entreprises et caisses citées sont fictives. Les coefficients de revalorisation et les points des relevés sont des valeurs pédagogiques.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La journée en bref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Objectifs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l'issue de la journée, vous serez capable de :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reconnaître un polypensionné et appliquer la liquidation unique des régimes alignés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intégrer les enfants au dossier : majoration de durée et majoration de pension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repérer une carrière longue possible et déclencher l'étude adaptée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identifier les organismes d'un dossier et rédiger une demande à un organisme partenaire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expliquer une situation complexe à un assuré, en distinguant ce qui est acquis de ce qui reste à étudier.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Déroulé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1000"/>
        <w:gridCol w:w="2138"/>
        <w:gridCol w:w="2100"/>
      </w:tblGrid>
      <w:tr>
        <w:trPr>
          <w:cantSplit/>
          <w:tblHeader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Séq.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Durée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Supports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Ouverture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Présentation du déroulé de la journée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Plénière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Polypensionnés : la liquidation unique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45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mini-cas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Book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enfants dans le dossier retraite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exercice interactif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n°2 (partie 1)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Repérer une carrière longue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25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Binômes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n°2 (partie 2)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dossier de M. VASSEUR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 40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Binômes + exercice interactif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4 + exercice HTML n°1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Travailler avec les autres organismes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rédaction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5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Mise en situation : deux assurés, deux questions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Binômes, rôles inversés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6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Synthèse de la journée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interactif + retour collectif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n°3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Total temps de travail effectif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6 h 30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1 — Polypensionnés : la liquidation unique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45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(25 min), mini-cas en binôme (15 min), correction (5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Qui est concerné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assurés nés à partir de 1953 ayant relevé d'au moins deux régimes « alignés » : régime général (salariés), salariés agricoles (MSA), artisans et commerçants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Qui n'est pas concerné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Fonctionnaires, professions libérales, exploitants agricoles, régimes spéciaux : chacun calcule sa propre pension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principe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Une seule pension de base, calculée comme si l'assuré n'avait relevé que d'un seul régime, et versée par le dernier régime d'affiliation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trimestres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Additionnés tous régimes alignés, toujours dans la limite de 4 par année civile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SAM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revenus d'une même année dans les différents régimes s'additionnent, dans la limite du PASS de l'année ; on retient ensuite les 25 meilleures années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complémentaires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Non concernées : chaque régime complémentaire verse sa propre retraite (Agirc-Arrco pour les salariés, RCI pour les artisans et commerçants…)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À RETENIR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Régimes alignés =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une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pension de base. Les retraites complémentaires restent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distinctes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Le dossier est instruit par le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dernier régime d'affiliation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Mini-cas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Pour chaque assuré : la liquidation unique s'applique-t-elle ? Combien de pensions de base percevra-t-il, et de quelles complémentaires relève-t-il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3338"/>
      </w:tblGrid>
      <w:tr>
        <w:trPr>
          <w:cantSplit/>
          <w:tblHeader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Assuré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Liquidation unique ?</w:t>
            </w: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Pensions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Salariée 20 ans, puis commerçante 15 ans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 10 ans, puis professeur titulaire de l'Éducation nationale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 agricole, puis salarié d'un supermarché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2 — Les enfants dans le dossier retraite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50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(20 min), cas sur l'exercice interactif n°2 (20 min), correction (10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Dispositif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Majoration de durée d'assurance (MDA)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Des trimestres en plus, qui comptent dans la durée (taux et proratisation) mais pas comme trimestres cotisés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Enfant né ou adopté avant 2010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8 trimestres par enfant pour la mère : 4 au titre de la maternité, 4 au titre de l'éducation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Enfant né ou adopté depuis 2010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 trimestres pour la mère (maternité) + 4 trimestres d'éducation à répartir entre les parents (option dans les 6 mois suivant les 4 ans de l'enfant ; sans option, ils vont à la mère) ; 4 trimestres d'adoption pour un enfant adopté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Majoration de pension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+ 10 % de la pension de base pour l'assuré (père ou mère) ayant eu ou élevé au moins 3 enfants. À ne pas confondre avec la MDA : elle augmente le montant, pas la durée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LE CAS DE MME DUPONT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Lucas est né en 1993, avant 2010 : 8 trimestres de majoration pour sa mère. C'est la ligne de 8 trimestres de son dossier de liquidation en J2.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Un seul enfant : pas de majoration de pension de 10 %.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00"/>
        <w:gridCol w:w="3938"/>
      </w:tblGrid>
      <w:tr>
        <w:trPr>
          <w:cantSplit/>
          <w:tblHeader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Cas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Une mère de deux enfants nés en 1990 et 1995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Une mère d'un enfant né en 2012, sans option des parents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 couple, enfant né en 2015, option : éducation partagée par moitié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 assuré ayant élevé trois enfants, pension de base de 14 000 €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3 — Repérer une carrière longue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25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(10 min), repérage en binôme sur les 4 assurés (10 min), correction (5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Un assuré qui a commencé à travailler jeune peut partir avant l'âge légal. Le premier filtre est simple : avoir validé </w:t>
      </w: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au moins 5 trimestres avant la fin de l'année civile de ses 16, 18, 20 ou 21 ans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(4 trimestres suffisent pour une personne née d'octobre à décembre).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UN SIGNAL N'EST PAS UN DROIT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Il faut aussi une durée d'assurance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cotisée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suffisante : les trimestres de majoration pour enfant n'en font pas partie, et les trimestres de chômage, de maladie ou de service national ne sont retenus que dans certaines limites.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L'âge de départ dépend de la génération et de l'âge de début de carrière. Le gestionnaire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repère le signal et déclenche l'étude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; il ne promet jamais une date au téléphone.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Repérage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1900"/>
        <w:gridCol w:w="2338"/>
      </w:tblGrid>
      <w:tr>
        <w:trPr>
          <w:cantSplit/>
          <w:tblHeader/>
        </w:trPr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Assuré</w:t>
            </w:r>
          </w:p>
        </w:tc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Trimestres avant la fin de l'année des…</w:t>
            </w: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Seuil atteint ?</w:t>
            </w:r>
          </w:p>
        </w:tc>
        <w:tc>
          <w:tcPr>
            <w:tcW w:type="dxa" w:w="2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Conclusion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M. VASSEUR, né le 03/11/1963 (4e trimestre)</w:t>
            </w:r>
          </w:p>
        </w:tc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Mme DUPONT, née le 22/06/1964</w:t>
            </w:r>
          </w:p>
        </w:tc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M. BENALI, né le 14/03/1966</w:t>
            </w:r>
          </w:p>
        </w:tc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M. MARTIN, né le 09/09/1992</w:t>
            </w:r>
          </w:p>
        </w:tc>
        <w:tc>
          <w:tcPr>
            <w:tcW w:type="dxa" w:w="2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4 — Le dossier de M. VASSEUR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 40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Instruction et calcul en binôme sur la fiche (65 min), exercice interactif n°1 (20 min), correction (15 min) · PDF « Séquence 4 »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Demande reçue le 12/03/2026 pour un départ au 01/09/2026. Complétez la fiche : additionnez les revenus des années à deux régimes, cochez les 25 meilleures années revalorisées, puis calculez la pension de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Régimes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Âge légal · durée (1963)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Date d'effet au plus tôt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Durée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Revenus fusionnés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Années retenues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Plus faible revenu retenu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SAM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Taux · proratisation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Pension de base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Complémentaires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5 — Travailler avec les autres organismes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(20 min), analyse du relevé de points (15 min), rédaction (25 min) · PDF « Séquence 5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38"/>
      </w:tblGrid>
      <w:tr>
        <w:trPr>
          <w:cantSplit/>
          <w:tblHeader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Population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Retraite de base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Retraite complémentaire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Salariés du privé, artisans et commerçants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L'Assurance retraite (Carsat, Cnav)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Agirc-Arrco (salariés) · RCI (artisans, commerçants)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Salariés et exploitants agricoles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MSA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Agirc-Arrco (salariés agricoles) · RCO (exploitants)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Fonctionnaires de l'État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Service des retraites de l'État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RAFP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Fonctionnaires territoriaux et hospitaliers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CNRACL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RAFP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Contractuels de la fonction publique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L'Assurance retraite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Ircantec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Professions libérales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CNAVPL et ses sections professionnelles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Section professionnelle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Tous régimes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Union Retraite (info-retraite.fr) : relevé de carrière tous régimes, demande de retraite unique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Le relevé de points de M. VASSEUR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Comparez le relevé de points de retraite complémentaire avec l'attestation de périodes indemnisées rectifiée. Que constatez-vous ? Rédigez ensuite un courriel à la caisse complémentaire pour faire régulariser la situation.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CONSIGNE DE RÉDACTION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Courriel à un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organisme partenaire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, pas à l'assuré : référence du dossier et numéro de sécurité sociale, constat précis (périodes, dates), pièce jointe, demande claire, échéance (la date d'effet du 01/09/2026).</w:t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Nunito" w:cs="Nunito" w:eastAsia="Nunito" w:hAnsi="Nunito"/>
          <w:b/>
          <w:bCs/>
          <w:color w:val="0F4C81"/>
          <w:sz w:val="21"/>
          <w:szCs w:val="21"/>
        </w:rPr>
        <w:t xml:space="preserve">Votre constat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</w:tcPr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</w:tc>
      </w:tr>
    </w:tbl>
    <w:p>
      <w:pPr>
        <w:keepNext/>
        <w:spacing w:after="60" w:before="160"/>
      </w:pPr>
      <w:r>
        <w:rPr>
          <w:rFonts w:ascii="Nunito" w:cs="Nunito" w:eastAsia="Nunito" w:hAnsi="Nunito"/>
          <w:b/>
          <w:bCs/>
          <w:color w:val="0F4C81"/>
          <w:sz w:val="21"/>
          <w:szCs w:val="21"/>
        </w:rPr>
        <w:t xml:space="preserve">Votre courriel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</w:tcPr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6 — Mise en situation : deux assurés, deux questions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Préparation (10 min), scénario A (15 min), scénario B rôles inversés (15 min), débriefing (20 min) · PDF « Séquence 6 »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Grille d'observation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38"/>
        <w:gridCol w:w="1000"/>
        <w:gridCol w:w="1500"/>
      </w:tblGrid>
      <w:tr>
        <w:trPr>
          <w:cantSplit/>
          <w:tblHeader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Critère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Oui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À améliorer</w:t>
            </w: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L'identité est vérifiée avant toute information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demande est reformulée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L'explication est juste et sans jargon (« liquidation unique », « MDA » expliqués)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gestionnaire distingue ce qu'il sait de ce qui relève d'une étude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ton reste calme face à la méfiance de l'assuré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L'appel se conclut par la suite à donner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7 — Synthèse de la journée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40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Exercice interactif n°3 (25 min), retour collectif (15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Douze questions sur la journée. Une réponse validée ne peut plus être modifiée ; vous pouvez relancer l'exercice en entier.</w:t>
      </w:r>
    </w:p>
    <w:sectPr>
      <w:headerReference w:type="default" r:id="rId6"/>
      <w:footerReference w:type="default" r:id="rId7"/>
      <w:pgSz w:w="11906" w:h="16838" w:orient="portrait"/>
      <w:pgMar w:top="1300" w:right="1134" w:bottom="1000" w:left="1134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555555"/>
        <w:sz w:val="16"/>
        <w:szCs w:val="16"/>
      </w:rPr>
      <w:t xml:space="preserve">TMK Performances - N° Siret : 49841924100027 - Code NAF : 8559A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0D2B56" w:color="auto" w:val="clear"/>
      <w:tabs>
        <w:tab w:val="right" w:pos="9638"/>
      </w:tabs>
      <w:spacing w:after="0"/>
    </w:pPr>
    <w:r>
      <w:rPr>
        <w:rFonts w:ascii="Fraunces" w:cs="Fraunces" w:eastAsia="Fraunces" w:hAnsi="Fraunces"/>
        <w:b/>
        <w:bCs/>
        <w:color w:val="FFFFFF"/>
        <w:sz w:val="20"/>
        <w:szCs w:val="20"/>
      </w:rPr>
      <w:t xml:space="preserve"> TMK Performances</w:t>
    </w:r>
    <w:r>
      <w:rPr>
        <w:rFonts w:ascii="Nunito" w:cs="Nunito" w:eastAsia="Nunito" w:hAnsi="Nunito"/>
        <w:color w:val="FFFFFF"/>
        <w:sz w:val="16"/>
        <w:szCs w:val="16"/>
      </w:rPr>
      <w:t xml:space="preserve">	Pratique professionnelle du gestionnaire retraite · J3 · Book stagiaire </w:t>
    </w:r>
  </w:p>
  <w:p>
    <w:pPr>
      <w:pBdr>
        <w:top w:val="single" w:color="C8A96B" w:sz="12" w:space="0"/>
      </w:pBdr>
      <w:shd w:fill="B3261E" w:color="auto" w:val="clear"/>
      <w:spacing w:after="120"/>
      <w:jc w:val="center"/>
    </w:pPr>
    <w:r>
      <w:rPr>
        <w:rFonts w:ascii="Nunito" w:cs="Nunito" w:eastAsia="Nunito" w:hAnsi="Nunito"/>
        <w:b/>
        <w:bCs/>
        <w:color w:val="FFFFFF"/>
        <w:sz w:val="14"/>
        <w:szCs w:val="14"/>
      </w:rPr>
      <w:t xml:space="preserve">DOCUMENT FICTIF À USAGE PÉDAGOGIQUE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  <w:rPr>
        <w:color w:val="C8A9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Pratique professionnelle du gestionnaire retraite — J3 — Book stagiaire</dc:title>
  <dc:creator>TMK Performances</dc:creator>
  <cp:lastModifiedBy>Un-named</cp:lastModifiedBy>
  <cp:revision>1</cp:revision>
  <dcterms:created xsi:type="dcterms:W3CDTF">2026-10-21T07:20:46.060Z</dcterms:created>
  <dcterms:modified xsi:type="dcterms:W3CDTF">2026-10-21T07:20:46.060Z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