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00"/>
      </w:pPr>
      <w:r>
        <w:rPr>
          <w:rFonts w:ascii="Fraunces" w:cs="Fraunces" w:eastAsia="Fraunces" w:hAnsi="Fraunces"/>
          <w:b/>
          <w:bCs/>
          <w:color w:val="C8A96B"/>
          <w:sz w:val="30"/>
          <w:szCs w:val="30"/>
        </w:rPr>
        <w:t xml:space="preserve">TMK Performances</w:t>
      </w:r>
    </w:p>
    <w:p>
      <w:pPr>
        <w:spacing w:after="200"/>
      </w:pPr>
      <w:r>
        <w:rPr>
          <w:rFonts w:ascii="Fraunces" w:cs="Fraunces" w:eastAsia="Fraunces" w:hAnsi="Fraunces"/>
          <w:b/>
          <w:bCs/>
          <w:color w:val="0D2B56"/>
          <w:sz w:val="52"/>
          <w:szCs w:val="52"/>
        </w:rPr>
        <w:t xml:space="preserve">Pratique professionnelle du gestionnaire retraite</w:t>
      </w:r>
    </w:p>
    <w:p>
      <w:pPr>
        <w:pBdr>
          <w:bottom w:val="single" w:color="C8A96B" w:sz="12" w:space="8"/>
        </w:pBdr>
        <w:spacing w:after="360"/>
      </w:pPr>
      <w:r>
        <w:rPr>
          <w:rFonts w:ascii="Fraunces" w:cs="Fraunces" w:eastAsia="Fraunces" w:hAnsi="Fraunces"/>
          <w:color w:val="0F4C81"/>
          <w:sz w:val="34"/>
          <w:szCs w:val="34"/>
        </w:rPr>
        <w:t xml:space="preserve">Journée 2 — Reconstituer la carrière et liquider la pension d'un salarié</w:t>
      </w:r>
    </w:p>
    <w:p>
      <w:pPr>
        <w:spacing w:after="120"/>
      </w:pPr>
      <w:r>
        <w:rPr>
          <w:rFonts w:ascii="Nunito" w:cs="Nunito" w:eastAsia="Nunito" w:hAnsi="Nunito"/>
          <w:b/>
          <w:bCs/>
          <w:color w:val="0D2B56"/>
          <w:sz w:val="30"/>
          <w:szCs w:val="30"/>
        </w:rPr>
        <w:t xml:space="preserve">Book stagiaire</w:t>
      </w:r>
    </w:p>
    <w:p>
      <w:pPr>
        <w:keepLines/>
        <w:spacing w:after="100" w:line="276"/>
      </w:pPr>
      <w:r>
        <w:rPr>
          <w:rFonts w:ascii="Nunito" w:cs="Nunito" w:eastAsia="Nunito" w:hAnsi="Nunito"/>
          <w:color w:val="1D2433"/>
          <w:sz w:val="20"/>
          <w:szCs w:val="20"/>
        </w:rPr>
        <w:t xml:space="preserve">Gestionnaire en assurances — spécialité retraite / santé · Groupe TESSI</w:t>
      </w:r>
    </w:p>
    <w:p>
      <w:pPr>
        <w:keepLines/>
        <w:spacing w:after="100" w:line="276"/>
      </w:pPr>
      <w:r>
        <w:rPr>
          <w:rFonts w:ascii="Nunito" w:cs="Nunito" w:eastAsia="Nunito" w:hAnsi="Nunito"/>
          <w:color w:val="1D2433"/>
          <w:sz w:val="20"/>
          <w:szCs w:val="20"/>
        </w:rPr>
        <w:t xml:space="preserve">Bloc 2 · Module « La pratique professionnelle du gestionnaire retraite » (35 h) · Durée de la journée : 6 h 30 de travail effectif</w:t>
      </w:r>
    </w:p>
    <w:p>
      <w:pPr>
        <w:spacing w:after="6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DEC" w:sz="4"/>
              <w:left w:val="single" w:color="B3261E" w:sz="24"/>
              <w:bottom w:val="single" w:color="FBEDEC" w:sz="4"/>
              <w:right w:val="single" w:color="FBEDEC" w:sz="4"/>
            </w:tcBorders>
            <w:shd w:fill="FBEDEC" w:color="auto" w:val="clear"/>
            <w:tcMar>
              <w:top w:type="dxa" w:w="100"/>
              <w:left w:type="dxa" w:w="180"/>
              <w:bottom w:type="dxa" w:w="100"/>
              <w:right w:type="dxa" w:w="160"/>
            </w:tcMar>
          </w:tcPr>
          <w:p>
            <w:pPr>
              <w:keepNext/>
              <w:spacing w:after="60"/>
            </w:pPr>
            <w:r>
              <w:rPr>
                <w:rFonts w:ascii="Nunito" w:cs="Nunito" w:eastAsia="Nunito" w:hAnsi="Nunito"/>
                <w:b/>
                <w:bCs/>
                <w:color w:val="B3261E"/>
                <w:sz w:val="17"/>
                <w:szCs w:val="17"/>
              </w:rPr>
              <w:t xml:space="preserve">DOCUMENT FICTIF À USAGE PÉDAGOGIQUE</w:t>
            </w:r>
          </w:p>
          <w:p>
            <w:pPr>
              <w:keepNext/>
              <w:keepLines/>
              <w:spacing w:after="60" w:line="264"/>
            </w:pPr>
            <w:r>
              <w:rPr>
                <w:rFonts w:ascii="Nunito" w:cs="Nunito" w:eastAsia="Nunito" w:hAnsi="Nunito"/>
                <w:color w:val="1D2433"/>
                <w:sz w:val="19"/>
                <w:szCs w:val="19"/>
              </w:rPr>
              <w:t xml:space="preserve">Les personnes, entreprises et caisses citées sont fictives. Les coefficients de revalorisation des dossiers sont des valeurs pédagogiques. Les règles d'âge et de durée sont celles en vigueur depuis la suspension de la réforme (pensions prenant effet à partir du 01/09/2026).</w:t>
            </w:r>
          </w:p>
        </w:tc>
      </w:tr>
    </w:tbl>
    <w:p>
      <w:r>
        <w:br w:type="page"/>
      </w:r>
    </w:p>
    <w:p>
      <w:pPr>
        <w:pStyle w:val="Heading1"/>
        <w:keepNext/>
        <w:pBdr>
          <w:bottom w:val="single" w:color="C8A96B" w:sz="12" w:space="4"/>
        </w:pBdr>
        <w:spacing w:after="160" w:before="120"/>
      </w:pPr>
      <w:r>
        <w:rPr>
          <w:rFonts w:ascii="Fraunces" w:cs="Fraunces" w:eastAsia="Fraunces" w:hAnsi="Fraunces"/>
          <w:b/>
          <w:bCs/>
          <w:color w:val="0D2B56"/>
          <w:sz w:val="32"/>
          <w:szCs w:val="32"/>
        </w:rPr>
        <w:t xml:space="preserve">La journée en bref</w:t>
      </w:r>
    </w:p>
    <w:p>
      <w:pPr>
        <w:pStyle w:val="Heading2"/>
        <w:keepNext/>
        <w:spacing w:after="100" w:before="240"/>
      </w:pPr>
      <w:r>
        <w:rPr>
          <w:rFonts w:ascii="Fraunces" w:cs="Fraunces" w:eastAsia="Fraunces" w:hAnsi="Fraunces"/>
          <w:b/>
          <w:bCs/>
          <w:color w:val="0D2B56"/>
          <w:sz w:val="25"/>
          <w:szCs w:val="25"/>
        </w:rPr>
        <w:t xml:space="preserve">Objectifs</w:t>
      </w:r>
    </w:p>
    <w:p>
      <w:pPr>
        <w:keepLines/>
        <w:spacing w:after="100" w:line="276"/>
      </w:pPr>
      <w:r>
        <w:rPr>
          <w:rFonts w:ascii="Nunito" w:cs="Nunito" w:eastAsia="Nunito" w:hAnsi="Nunito"/>
          <w:color w:val="1D2433"/>
          <w:sz w:val="20"/>
          <w:szCs w:val="20"/>
        </w:rPr>
        <w:t xml:space="preserve">À l'issue de la journée, vous serez capable de :</w:t>
      </w:r>
    </w:p>
    <w:p>
      <w:pPr>
        <w:pStyle w:val="ListParagraph"/>
        <w:keepLines/>
        <w:numPr>
          <w:ilvl w:val="0"/>
          <w:numId w:val="2"/>
        </w:numPr>
        <w:spacing w:after="60" w:line="264"/>
      </w:pPr>
      <w:r>
        <w:rPr>
          <w:rFonts w:ascii="Nunito" w:cs="Nunito" w:eastAsia="Nunito" w:hAnsi="Nunito"/>
          <w:color w:val="1D2433"/>
          <w:sz w:val="20"/>
          <w:szCs w:val="20"/>
        </w:rPr>
        <w:t xml:space="preserve">situer un dossier dans le parcours de liquidation, de la demande à la notification ;</w:t>
      </w:r>
    </w:p>
    <w:p>
      <w:pPr>
        <w:pStyle w:val="ListParagraph"/>
        <w:keepLines/>
        <w:numPr>
          <w:ilvl w:val="0"/>
          <w:numId w:val="2"/>
        </w:numPr>
        <w:spacing w:after="60" w:line="264"/>
      </w:pPr>
      <w:r>
        <w:rPr>
          <w:rFonts w:ascii="Nunito" w:cs="Nunito" w:eastAsia="Nunito" w:hAnsi="Nunito"/>
          <w:color w:val="1D2433"/>
          <w:sz w:val="20"/>
          <w:szCs w:val="20"/>
        </w:rPr>
        <w:t xml:space="preserve">appliquer les règles d'âge et de durée en vigueur, et repérer l'effet d'un changement de réglementation sur un dossier ;</w:t>
      </w:r>
    </w:p>
    <w:p>
      <w:pPr>
        <w:pStyle w:val="ListParagraph"/>
        <w:keepLines/>
        <w:numPr>
          <w:ilvl w:val="0"/>
          <w:numId w:val="2"/>
        </w:numPr>
        <w:spacing w:after="60" w:line="264"/>
      </w:pPr>
      <w:r>
        <w:rPr>
          <w:rFonts w:ascii="Nunito" w:cs="Nunito" w:eastAsia="Nunito" w:hAnsi="Nunito"/>
          <w:color w:val="1D2433"/>
          <w:sz w:val="20"/>
          <w:szCs w:val="20"/>
        </w:rPr>
        <w:t xml:space="preserve">calculer une pension de base du régime général : 25 meilleures années, SAM, taux, proratisation ;</w:t>
      </w:r>
    </w:p>
    <w:p>
      <w:pPr>
        <w:pStyle w:val="ListParagraph"/>
        <w:keepLines/>
        <w:numPr>
          <w:ilvl w:val="0"/>
          <w:numId w:val="2"/>
        </w:numPr>
        <w:spacing w:after="60" w:line="264"/>
      </w:pPr>
      <w:r>
        <w:rPr>
          <w:rFonts w:ascii="Nunito" w:cs="Nunito" w:eastAsia="Nunito" w:hAnsi="Nunito"/>
          <w:color w:val="1D2433"/>
          <w:sz w:val="20"/>
          <w:szCs w:val="20"/>
        </w:rPr>
        <w:t xml:space="preserve">appliquer une décote ou une surcote ;</w:t>
      </w:r>
    </w:p>
    <w:p>
      <w:pPr>
        <w:pStyle w:val="ListParagraph"/>
        <w:keepLines/>
        <w:numPr>
          <w:ilvl w:val="0"/>
          <w:numId w:val="2"/>
        </w:numPr>
        <w:spacing w:after="60" w:line="264"/>
      </w:pPr>
      <w:r>
        <w:rPr>
          <w:rFonts w:ascii="Nunito" w:cs="Nunito" w:eastAsia="Nunito" w:hAnsi="Nunito"/>
          <w:color w:val="1D2433"/>
          <w:sz w:val="20"/>
          <w:szCs w:val="20"/>
        </w:rPr>
        <w:t xml:space="preserve">expliquer un montant de pension à un assuré, avec des mots simples, sans s'engager au-delà de ce qui est calculé ;</w:t>
      </w:r>
    </w:p>
    <w:p>
      <w:pPr>
        <w:pStyle w:val="ListParagraph"/>
        <w:keepLines/>
        <w:numPr>
          <w:ilvl w:val="0"/>
          <w:numId w:val="2"/>
        </w:numPr>
        <w:spacing w:after="60" w:line="264"/>
      </w:pPr>
      <w:r>
        <w:rPr>
          <w:rFonts w:ascii="Nunito" w:cs="Nunito" w:eastAsia="Nunito" w:hAnsi="Nunito"/>
          <w:color w:val="1D2433"/>
          <w:sz w:val="20"/>
          <w:szCs w:val="20"/>
        </w:rPr>
        <w:t xml:space="preserve">rédiger une notification de pension.</w:t>
      </w:r>
    </w:p>
    <w:p>
      <w:pPr>
        <w:pStyle w:val="Heading2"/>
        <w:keepNext/>
        <w:spacing w:after="100" w:before="240"/>
      </w:pPr>
      <w:r>
        <w:rPr>
          <w:rFonts w:ascii="Fraunces" w:cs="Fraunces" w:eastAsia="Fraunces" w:hAnsi="Fraunces"/>
          <w:b/>
          <w:bCs/>
          <w:color w:val="0D2B56"/>
          <w:sz w:val="25"/>
          <w:szCs w:val="25"/>
        </w:rPr>
        <w:t xml:space="preserve">Déroulé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000"/>
        <w:gridCol w:w="2138"/>
        <w:gridCol w:w="2100"/>
      </w:tblGrid>
      <w:tr>
        <w:trPr>
          <w:cantSplit/>
          <w:tblHeader/>
        </w:trPr>
        <w:tc>
          <w:tcPr>
            <w:tcW w:type="dxa" w:w="8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Séq.</w:t>
            </w:r>
          </w:p>
        </w:tc>
        <w:tc>
          <w:tcPr>
            <w:tcW w:type="dxa" w:w="36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Contenu</w:t>
            </w:r>
          </w:p>
        </w:tc>
        <w:tc>
          <w:tcPr>
            <w:tcW w:type="dxa" w:w="10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Durée</w:t>
            </w:r>
          </w:p>
        </w:tc>
        <w:tc>
          <w:tcPr>
            <w:tcW w:type="dxa" w:w="2138"/>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Modalité</w:t>
            </w:r>
          </w:p>
        </w:tc>
        <w:tc>
          <w:tcPr>
            <w:tcW w:type="dxa" w:w="21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Supports</w:t>
            </w:r>
          </w:p>
        </w:tc>
      </w:tr>
      <w:tr>
        <w:trPr>
          <w:cantSplit/>
          <w:tblHeader w:val="off"/>
        </w:trPr>
        <w:tc>
          <w:tcPr>
            <w:tcW w:type="dxa" w:w="8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Ouverture</w:t>
            </w:r>
          </w:p>
        </w:tc>
        <w:tc>
          <w:tcPr>
            <w:tcW w:type="dxa" w:w="36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Présentation du déroulé de la journée</w:t>
            </w:r>
          </w:p>
        </w:tc>
        <w:tc>
          <w:tcPr>
            <w:tcW w:type="dxa" w:w="1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10 min</w:t>
            </w:r>
          </w:p>
        </w:tc>
        <w:tc>
          <w:tcPr>
            <w:tcW w:type="dxa" w:w="21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Plénière</w:t>
            </w:r>
          </w:p>
        </w:tc>
        <w:tc>
          <w:tcPr>
            <w:tcW w:type="dxa" w:w="21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w:t>
            </w:r>
          </w:p>
        </w:tc>
      </w:tr>
      <w:tr>
        <w:trPr>
          <w:cantSplit/>
          <w:tblHeader w:val="off"/>
        </w:trPr>
        <w:tc>
          <w:tcPr>
            <w:tcW w:type="dxa" w:w="8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w:t>
            </w:r>
          </w:p>
        </w:tc>
        <w:tc>
          <w:tcPr>
            <w:tcW w:type="dxa" w:w="36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Le parcours d'un dossier de liquidation</w:t>
            </w:r>
          </w:p>
        </w:tc>
        <w:tc>
          <w:tcPr>
            <w:tcW w:type="dxa" w:w="1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40 min</w:t>
            </w:r>
          </w:p>
        </w:tc>
        <w:tc>
          <w:tcPr>
            <w:tcW w:type="dxa" w:w="21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Apport + questionnement</w:t>
            </w:r>
          </w:p>
        </w:tc>
        <w:tc>
          <w:tcPr>
            <w:tcW w:type="dxa" w:w="21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Book</w:t>
            </w:r>
          </w:p>
        </w:tc>
      </w:tr>
      <w:tr>
        <w:trPr>
          <w:cantSplit/>
          <w:tblHeader w:val="off"/>
        </w:trPr>
        <w:tc>
          <w:tcPr>
            <w:tcW w:type="dxa" w:w="8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2</w:t>
            </w:r>
          </w:p>
        </w:tc>
        <w:tc>
          <w:tcPr>
            <w:tcW w:type="dxa" w:w="36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Veille réglementaire : la suspension de la réforme</w:t>
            </w:r>
          </w:p>
        </w:tc>
        <w:tc>
          <w:tcPr>
            <w:tcW w:type="dxa" w:w="1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40 min</w:t>
            </w:r>
          </w:p>
        </w:tc>
        <w:tc>
          <w:tcPr>
            <w:tcW w:type="dxa" w:w="21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Apport + exercice en binôme</w:t>
            </w:r>
          </w:p>
        </w:tc>
        <w:tc>
          <w:tcPr>
            <w:tcW w:type="dxa" w:w="21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Book</w:t>
            </w:r>
          </w:p>
        </w:tc>
      </w:tr>
      <w:tr>
        <w:trPr>
          <w:cantSplit/>
          <w:tblHeader w:val="off"/>
        </w:trPr>
        <w:tc>
          <w:tcPr>
            <w:tcW w:type="dxa" w:w="8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3</w:t>
            </w:r>
          </w:p>
        </w:tc>
        <w:tc>
          <w:tcPr>
            <w:tcW w:type="dxa" w:w="36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Calcul guidé : la pension de M. BENALI</w:t>
            </w:r>
          </w:p>
        </w:tc>
        <w:tc>
          <w:tcPr>
            <w:tcW w:type="dxa" w:w="1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 h 40</w:t>
            </w:r>
          </w:p>
        </w:tc>
        <w:tc>
          <w:tcPr>
            <w:tcW w:type="dxa" w:w="21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Démonstration puis exercice interactif</w:t>
            </w:r>
          </w:p>
        </w:tc>
        <w:tc>
          <w:tcPr>
            <w:tcW w:type="dxa" w:w="21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PDF Séquence 3 + exercice HTML n°1</w:t>
            </w:r>
          </w:p>
        </w:tc>
      </w:tr>
      <w:tr>
        <w:trPr>
          <w:cantSplit/>
          <w:tblHeader w:val="off"/>
        </w:trPr>
        <w:tc>
          <w:tcPr>
            <w:tcW w:type="dxa" w:w="8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4</w:t>
            </w:r>
          </w:p>
        </w:tc>
        <w:tc>
          <w:tcPr>
            <w:tcW w:type="dxa" w:w="36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En autonomie : Mme DUPONT et les calculs express</w:t>
            </w:r>
          </w:p>
        </w:tc>
        <w:tc>
          <w:tcPr>
            <w:tcW w:type="dxa" w:w="1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 h 30</w:t>
            </w:r>
          </w:p>
        </w:tc>
        <w:tc>
          <w:tcPr>
            <w:tcW w:type="dxa" w:w="21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Binômes + exercice interactif</w:t>
            </w:r>
          </w:p>
        </w:tc>
        <w:tc>
          <w:tcPr>
            <w:tcW w:type="dxa" w:w="21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PDF Séquence 4 + exercice HTML n°2</w:t>
            </w:r>
          </w:p>
        </w:tc>
      </w:tr>
      <w:tr>
        <w:trPr>
          <w:cantSplit/>
          <w:tblHeader w:val="off"/>
        </w:trPr>
        <w:tc>
          <w:tcPr>
            <w:tcW w:type="dxa" w:w="8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5</w:t>
            </w:r>
          </w:p>
        </w:tc>
        <w:tc>
          <w:tcPr>
            <w:tcW w:type="dxa" w:w="36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Mise en situation : expliquer sa pension à l'assuré</w:t>
            </w:r>
          </w:p>
        </w:tc>
        <w:tc>
          <w:tcPr>
            <w:tcW w:type="dxa" w:w="1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 h</w:t>
            </w:r>
          </w:p>
        </w:tc>
        <w:tc>
          <w:tcPr>
            <w:tcW w:type="dxa" w:w="21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Binômes, rôles inversés</w:t>
            </w:r>
          </w:p>
        </w:tc>
        <w:tc>
          <w:tcPr>
            <w:tcW w:type="dxa" w:w="21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PDF Séquence 5 (fiches de rôle)</w:t>
            </w:r>
          </w:p>
        </w:tc>
      </w:tr>
      <w:tr>
        <w:trPr>
          <w:cantSplit/>
          <w:tblHeader w:val="off"/>
        </w:trPr>
        <w:tc>
          <w:tcPr>
            <w:tcW w:type="dxa" w:w="8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6</w:t>
            </w:r>
          </w:p>
        </w:tc>
        <w:tc>
          <w:tcPr>
            <w:tcW w:type="dxa" w:w="36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La notification et la synthèse</w:t>
            </w:r>
          </w:p>
        </w:tc>
        <w:tc>
          <w:tcPr>
            <w:tcW w:type="dxa" w:w="1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50 min</w:t>
            </w:r>
          </w:p>
        </w:tc>
        <w:tc>
          <w:tcPr>
            <w:tcW w:type="dxa" w:w="21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Rédaction + exercice interactif</w:t>
            </w:r>
          </w:p>
        </w:tc>
        <w:tc>
          <w:tcPr>
            <w:tcW w:type="dxa" w:w="21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Book + exercice HTML n°3</w:t>
            </w:r>
          </w:p>
        </w:tc>
      </w:tr>
      <w:tr>
        <w:trPr>
          <w:cantSplit/>
          <w:tblHeader w:val="off"/>
        </w:trPr>
        <w:tc>
          <w:tcPr>
            <w:tcW w:type="dxa" w:w="8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c>
          <w:tcPr>
            <w:tcW w:type="dxa" w:w="36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b/>
                <w:bCs/>
                <w:color w:val="1D2433"/>
                <w:sz w:val="18"/>
                <w:szCs w:val="18"/>
              </w:rPr>
              <w:t xml:space="preserve">Total temps de travail effectif</w:t>
            </w:r>
          </w:p>
        </w:tc>
        <w:tc>
          <w:tcPr>
            <w:tcW w:type="dxa" w:w="1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b/>
                <w:bCs/>
                <w:color w:val="1D2433"/>
                <w:sz w:val="18"/>
                <w:szCs w:val="18"/>
              </w:rPr>
              <w:t xml:space="preserve">6 h 30</w:t>
            </w:r>
          </w:p>
        </w:tc>
        <w:tc>
          <w:tcPr>
            <w:tcW w:type="dxa" w:w="21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c>
          <w:tcPr>
            <w:tcW w:type="dxa" w:w="21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bl>
    <w:p>
      <w:r>
        <w:br w:type="page"/>
      </w:r>
    </w:p>
    <w:p>
      <w:pPr>
        <w:pStyle w:val="Heading1"/>
        <w:keepNext/>
        <w:pBdr>
          <w:bottom w:val="single" w:color="C8A96B" w:sz="12" w:space="4"/>
        </w:pBdr>
        <w:spacing w:after="160" w:before="120"/>
      </w:pPr>
      <w:r>
        <w:rPr>
          <w:rFonts w:ascii="Fraunces" w:cs="Fraunces" w:eastAsia="Fraunces" w:hAnsi="Fraunces"/>
          <w:b/>
          <w:bCs/>
          <w:color w:val="0D2B56"/>
          <w:sz w:val="32"/>
          <w:szCs w:val="32"/>
        </w:rPr>
        <w:t xml:space="preserve">Séquence 1 — Le parcours d'un dossier de liquidation</w:t>
      </w:r>
    </w:p>
    <w:p>
      <w:pPr>
        <w:keepLines/>
        <w:spacing w:after="100" w:line="276"/>
      </w:pPr>
      <w:r>
        <w:rPr>
          <w:rFonts w:ascii="Nunito" w:cs="Nunito" w:eastAsia="Nunito" w:hAnsi="Nunito"/>
          <w:b/>
          <w:bCs/>
          <w:color w:val="1D2433"/>
          <w:sz w:val="20"/>
          <w:szCs w:val="20"/>
        </w:rPr>
        <w:t xml:space="preserve">Durée : 40 min</w:t>
      </w:r>
      <w:r>
        <w:rPr>
          <w:rFonts w:ascii="Nunito" w:cs="Nunito" w:eastAsia="Nunito" w:hAnsi="Nunito"/>
          <w:color w:val="1D2433"/>
          <w:sz w:val="20"/>
          <w:szCs w:val="20"/>
        </w:rPr>
        <w:t xml:space="preserve"> · Apport (25 min) puis questionnement (15 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938"/>
        <w:gridCol w:w="2600"/>
      </w:tblGrid>
      <w:tr>
        <w:trPr>
          <w:cantSplit/>
          <w:tblHeader/>
        </w:trPr>
        <w:tc>
          <w:tcPr>
            <w:tcW w:type="dxa" w:w="21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Étape</w:t>
            </w:r>
          </w:p>
        </w:tc>
        <w:tc>
          <w:tcPr>
            <w:tcW w:type="dxa" w:w="4938"/>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Ce que fait le gestionnaire</w:t>
            </w:r>
          </w:p>
        </w:tc>
        <w:tc>
          <w:tcPr>
            <w:tcW w:type="dxa" w:w="26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Documents</w:t>
            </w:r>
          </w:p>
        </w:tc>
      </w:tr>
      <w:tr>
        <w:trPr>
          <w:cantSplit/>
          <w:tblHeader w:val="off"/>
        </w:trPr>
        <w:tc>
          <w:tcPr>
            <w:tcW w:type="dxa" w:w="21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 Information</w:t>
            </w:r>
          </w:p>
        </w:tc>
        <w:tc>
          <w:tcPr>
            <w:tcW w:type="dxa" w:w="49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L'assuré consulte son relevé, son estimation et ses simulations ; le gestionnaire répond à ses questions</w:t>
            </w:r>
          </w:p>
        </w:tc>
        <w:tc>
          <w:tcPr>
            <w:tcW w:type="dxa" w:w="26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Relevé de carrière, estimation indicative globale</w:t>
            </w:r>
          </w:p>
        </w:tc>
      </w:tr>
      <w:tr>
        <w:trPr>
          <w:cantSplit/>
          <w:tblHeader w:val="off"/>
        </w:trPr>
        <w:tc>
          <w:tcPr>
            <w:tcW w:type="dxa" w:w="21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2. Demande</w:t>
            </w:r>
          </w:p>
        </w:tc>
        <w:tc>
          <w:tcPr>
            <w:tcW w:type="dxa" w:w="49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Demande de retraite en ligne (demande unique pour tous les régimes) ou formulaire, idéalement 4 à 6 mois avant la date d'effet souhaitée</w:t>
            </w:r>
          </w:p>
        </w:tc>
        <w:tc>
          <w:tcPr>
            <w:tcW w:type="dxa" w:w="26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Demande, date d'effet souhaitée</w:t>
            </w:r>
          </w:p>
        </w:tc>
      </w:tr>
      <w:tr>
        <w:trPr>
          <w:cantSplit/>
          <w:tblHeader w:val="off"/>
        </w:trPr>
        <w:tc>
          <w:tcPr>
            <w:tcW w:type="dxa" w:w="21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3. Réception et complétude</w:t>
            </w:r>
          </w:p>
        </w:tc>
        <w:tc>
          <w:tcPr>
            <w:tcW w:type="dxa" w:w="49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Accusé de réception ; contrôle que les pièces obligatoires sont présentes</w:t>
            </w:r>
          </w:p>
        </w:tc>
        <w:tc>
          <w:tcPr>
            <w:tcW w:type="dxa" w:w="26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Pièce d'identité, RIB, avis d'impôt…</w:t>
            </w:r>
          </w:p>
        </w:tc>
      </w:tr>
      <w:tr>
        <w:trPr>
          <w:cantSplit/>
          <w:tblHeader w:val="off"/>
        </w:trPr>
        <w:tc>
          <w:tcPr>
            <w:tcW w:type="dxa" w:w="21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4. Instruction</w:t>
            </w:r>
          </w:p>
        </w:tc>
        <w:tc>
          <w:tcPr>
            <w:tcW w:type="dxa" w:w="49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Contrôle de l'identité, de la carrière (régularisations de la J1) et des conditions d'âge et de durée</w:t>
            </w:r>
          </w:p>
        </w:tc>
        <w:tc>
          <w:tcPr>
            <w:tcW w:type="dxa" w:w="26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Relevé régularisé, pièces justificatives</w:t>
            </w:r>
          </w:p>
        </w:tc>
      </w:tr>
      <w:tr>
        <w:trPr>
          <w:cantSplit/>
          <w:tblHeader w:val="off"/>
        </w:trPr>
        <w:tc>
          <w:tcPr>
            <w:tcW w:type="dxa" w:w="21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5. Calcul</w:t>
            </w:r>
          </w:p>
        </w:tc>
        <w:tc>
          <w:tcPr>
            <w:tcW w:type="dxa" w:w="49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Salaire annuel moyen, taux, proratisation, majorations éventuelles</w:t>
            </w:r>
          </w:p>
        </w:tc>
        <w:tc>
          <w:tcPr>
            <w:tcW w:type="dxa" w:w="26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Fiche d'instruction</w:t>
            </w:r>
          </w:p>
        </w:tc>
      </w:tr>
      <w:tr>
        <w:trPr>
          <w:cantSplit/>
          <w:tblHeader w:val="off"/>
        </w:trPr>
        <w:tc>
          <w:tcPr>
            <w:tcW w:type="dxa" w:w="21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6. Contrôle</w:t>
            </w:r>
          </w:p>
        </w:tc>
        <w:tc>
          <w:tcPr>
            <w:tcW w:type="dxa" w:w="49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Second regard sur le dossier avant décision (double contrôle)</w:t>
            </w:r>
          </w:p>
        </w:tc>
        <w:tc>
          <w:tcPr>
            <w:tcW w:type="dxa" w:w="26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Check-list de contrôle</w:t>
            </w:r>
          </w:p>
        </w:tc>
      </w:tr>
      <w:tr>
        <w:trPr>
          <w:cantSplit/>
          <w:tblHeader w:val="off"/>
        </w:trPr>
        <w:tc>
          <w:tcPr>
            <w:tcW w:type="dxa" w:w="21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7. Notification</w:t>
            </w:r>
          </w:p>
        </w:tc>
        <w:tc>
          <w:tcPr>
            <w:tcW w:type="dxa" w:w="49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Envoi de la décision à l'assuré : montant, éléments de calcul, voies de recours</w:t>
            </w:r>
          </w:p>
        </w:tc>
        <w:tc>
          <w:tcPr>
            <w:tcW w:type="dxa" w:w="26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Notification de pension</w:t>
            </w:r>
          </w:p>
        </w:tc>
      </w:tr>
      <w:tr>
        <w:trPr>
          <w:cantSplit/>
          <w:tblHeader w:val="off"/>
        </w:trPr>
        <w:tc>
          <w:tcPr>
            <w:tcW w:type="dxa" w:w="21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8. Paiement</w:t>
            </w:r>
          </w:p>
        </w:tc>
        <w:tc>
          <w:tcPr>
            <w:tcW w:type="dxa" w:w="49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Mise en paiement mensuelle à partir de la date d'effet</w:t>
            </w:r>
          </w:p>
        </w:tc>
        <w:tc>
          <w:tcPr>
            <w:tcW w:type="dxa" w:w="26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w:t>
            </w:r>
          </w:p>
        </w:tc>
      </w:tr>
      <w:tr>
        <w:trPr>
          <w:cantSplit/>
          <w:tblHeader w:val="off"/>
        </w:trPr>
        <w:tc>
          <w:tcPr>
            <w:tcW w:type="dxa" w:w="21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9. Après la décision</w:t>
            </w:r>
          </w:p>
        </w:tc>
        <w:tc>
          <w:tcPr>
            <w:tcW w:type="dxa" w:w="49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Questions de l'assuré, révision éventuelle, recours amiable dans un délai de 2 mois</w:t>
            </w:r>
          </w:p>
        </w:tc>
        <w:tc>
          <w:tcPr>
            <w:tcW w:type="dxa" w:w="26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Courriers, réclamations</w:t>
            </w:r>
          </w:p>
        </w:tc>
      </w:tr>
    </w:tbl>
    <w:p>
      <w:pPr>
        <w:spacing w:after="80"/>
      </w:pPr>
    </w:p>
    <w:p>
      <w:pPr>
        <w:keepNext/>
        <w:spacing w:after="60" w:before="160"/>
      </w:pPr>
      <w:r>
        <w:rPr>
          <w:rFonts w:ascii="Nunito" w:cs="Nunito" w:eastAsia="Nunito" w:hAnsi="Nunito"/>
          <w:b/>
          <w:bCs/>
          <w:color w:val="0F4C81"/>
          <w:sz w:val="21"/>
          <w:szCs w:val="21"/>
        </w:rPr>
        <w:t xml:space="preserve">Questions</w:t>
      </w:r>
    </w:p>
    <w:p>
      <w:pPr>
        <w:keepNext/>
        <w:keepLines/>
        <w:spacing w:after="100" w:line="276"/>
      </w:pPr>
      <w:r>
        <w:rPr>
          <w:rFonts w:ascii="Nunito" w:cs="Nunito" w:eastAsia="Nunito" w:hAnsi="Nunito"/>
          <w:b/>
          <w:bCs/>
          <w:color w:val="1D2433"/>
          <w:sz w:val="20"/>
          <w:szCs w:val="20"/>
        </w:rPr>
        <w:t xml:space="preserve">1.</w:t>
      </w:r>
      <w:r>
        <w:rPr>
          <w:rFonts w:ascii="Nunito" w:cs="Nunito" w:eastAsia="Nunito" w:hAnsi="Nunito"/>
          <w:color w:val="1D2433"/>
          <w:sz w:val="20"/>
          <w:szCs w:val="20"/>
        </w:rPr>
        <w:t xml:space="preserve"> À quelle étape se situent les dossiers flash de la journée 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A5B8" w:sz="4"/>
              <w:left w:val="single" w:color="9AA5B8" w:sz="4"/>
              <w:bottom w:val="single" w:color="9AA5B8" w:sz="4"/>
              <w:right w:val="single" w:color="9AA5B8" w:sz="4"/>
            </w:tcBorders>
          </w:tcPr>
          <w:p>
            <w:pPr>
              <w:pBdr>
                <w:bottom w:val="dotted" w:color="C9D3E3" w:sz="4" w:space="1"/>
              </w:pBdr>
              <w:spacing w:after="0" w:line="420"/>
            </w:pPr>
          </w:p>
          <w:p>
            <w:pPr>
              <w:pBdr>
                <w:bottom w:val="dotted" w:color="C9D3E3" w:sz="4" w:space="1"/>
              </w:pBdr>
              <w:spacing w:after="0" w:line="420"/>
            </w:pPr>
          </w:p>
        </w:tc>
      </w:tr>
    </w:tbl>
    <w:p>
      <w:pPr>
        <w:keepNext/>
        <w:keepLines/>
        <w:spacing w:after="100" w:line="276"/>
      </w:pPr>
      <w:r>
        <w:rPr>
          <w:rFonts w:ascii="Nunito" w:cs="Nunito" w:eastAsia="Nunito" w:hAnsi="Nunito"/>
          <w:b/>
          <w:bCs/>
          <w:color w:val="1D2433"/>
          <w:sz w:val="20"/>
          <w:szCs w:val="20"/>
        </w:rPr>
        <w:t xml:space="preserve">2.</w:t>
      </w:r>
      <w:r>
        <w:rPr>
          <w:rFonts w:ascii="Nunito" w:cs="Nunito" w:eastAsia="Nunito" w:hAnsi="Nunito"/>
          <w:color w:val="1D2433"/>
          <w:sz w:val="20"/>
          <w:szCs w:val="20"/>
        </w:rPr>
        <w:t xml:space="preserve"> Pourquoi conseiller de déposer la demande 4 à 6 mois avant la date d'effet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A5B8" w:sz="4"/>
              <w:left w:val="single" w:color="9AA5B8" w:sz="4"/>
              <w:bottom w:val="single" w:color="9AA5B8" w:sz="4"/>
              <w:right w:val="single" w:color="9AA5B8" w:sz="4"/>
            </w:tcBorders>
          </w:tcPr>
          <w:p>
            <w:pPr>
              <w:pBdr>
                <w:bottom w:val="dotted" w:color="C9D3E3" w:sz="4" w:space="1"/>
              </w:pBdr>
              <w:spacing w:after="0" w:line="420"/>
            </w:pPr>
          </w:p>
          <w:p>
            <w:pPr>
              <w:pBdr>
                <w:bottom w:val="dotted" w:color="C9D3E3" w:sz="4" w:space="1"/>
              </w:pBdr>
              <w:spacing w:after="0" w:line="420"/>
            </w:pPr>
          </w:p>
        </w:tc>
      </w:tr>
    </w:tbl>
    <w:p>
      <w:pPr>
        <w:keepNext/>
        <w:keepLines/>
        <w:spacing w:after="100" w:line="276"/>
      </w:pPr>
      <w:r>
        <w:rPr>
          <w:rFonts w:ascii="Nunito" w:cs="Nunito" w:eastAsia="Nunito" w:hAnsi="Nunito"/>
          <w:b/>
          <w:bCs/>
          <w:color w:val="1D2433"/>
          <w:sz w:val="20"/>
          <w:szCs w:val="20"/>
        </w:rPr>
        <w:t xml:space="preserve">3.</w:t>
      </w:r>
      <w:r>
        <w:rPr>
          <w:rFonts w:ascii="Nunito" w:cs="Nunito" w:eastAsia="Nunito" w:hAnsi="Nunito"/>
          <w:color w:val="1D2433"/>
          <w:sz w:val="20"/>
          <w:szCs w:val="20"/>
        </w:rPr>
        <w:t xml:space="preserve"> Que doit contenir une notification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A5B8" w:sz="4"/>
              <w:left w:val="single" w:color="9AA5B8" w:sz="4"/>
              <w:bottom w:val="single" w:color="9AA5B8" w:sz="4"/>
              <w:right w:val="single" w:color="9AA5B8" w:sz="4"/>
            </w:tcBorders>
          </w:tcPr>
          <w:p>
            <w:pPr>
              <w:pBdr>
                <w:bottom w:val="dotted" w:color="C9D3E3" w:sz="4" w:space="1"/>
              </w:pBdr>
              <w:spacing w:after="0" w:line="420"/>
            </w:pPr>
          </w:p>
          <w:p>
            <w:pPr>
              <w:pBdr>
                <w:bottom w:val="dotted" w:color="C9D3E3" w:sz="4" w:space="1"/>
              </w:pBdr>
              <w:spacing w:after="0" w:line="420"/>
            </w:pPr>
          </w:p>
        </w:tc>
      </w:tr>
    </w:tbl>
    <w:p>
      <w:r>
        <w:br w:type="page"/>
      </w:r>
    </w:p>
    <w:p>
      <w:pPr>
        <w:pStyle w:val="Heading1"/>
        <w:keepNext/>
        <w:pBdr>
          <w:bottom w:val="single" w:color="C8A96B" w:sz="12" w:space="4"/>
        </w:pBdr>
        <w:spacing w:after="160" w:before="120"/>
      </w:pPr>
      <w:r>
        <w:rPr>
          <w:rFonts w:ascii="Fraunces" w:cs="Fraunces" w:eastAsia="Fraunces" w:hAnsi="Fraunces"/>
          <w:b/>
          <w:bCs/>
          <w:color w:val="0D2B56"/>
          <w:sz w:val="32"/>
          <w:szCs w:val="32"/>
        </w:rPr>
        <w:t xml:space="preserve">Séquence 2 — Veille réglementaire : la suspension de la réforme</w:t>
      </w:r>
    </w:p>
    <w:p>
      <w:pPr>
        <w:keepLines/>
        <w:spacing w:after="100" w:line="276"/>
      </w:pPr>
      <w:r>
        <w:rPr>
          <w:rFonts w:ascii="Nunito" w:cs="Nunito" w:eastAsia="Nunito" w:hAnsi="Nunito"/>
          <w:b/>
          <w:bCs/>
          <w:color w:val="1D2433"/>
          <w:sz w:val="20"/>
          <w:szCs w:val="20"/>
        </w:rPr>
        <w:t xml:space="preserve">Durée : 40 min</w:t>
      </w:r>
      <w:r>
        <w:rPr>
          <w:rFonts w:ascii="Nunito" w:cs="Nunito" w:eastAsia="Nunito" w:hAnsi="Nunito"/>
          <w:color w:val="1D2433"/>
          <w:sz w:val="20"/>
          <w:szCs w:val="20"/>
        </w:rPr>
        <w:t xml:space="preserve"> · Apport (15 min), exercice en binôme (15 min), correction (10 min)</w:t>
      </w:r>
    </w:p>
    <w:p>
      <w:pPr>
        <w:keepLines/>
        <w:spacing w:after="100" w:line="276"/>
      </w:pPr>
      <w:r>
        <w:rPr>
          <w:rFonts w:ascii="Nunito" w:cs="Nunito" w:eastAsia="Nunito" w:hAnsi="Nunito"/>
          <w:color w:val="1D2433"/>
          <w:sz w:val="20"/>
          <w:szCs w:val="20"/>
        </w:rPr>
        <w:t xml:space="preserve">La loi de financement de la sécurité sociale pour 2026 suspend, pour les pensions prenant effet à partir du </w:t>
      </w:r>
      <w:r>
        <w:rPr>
          <w:rFonts w:ascii="Nunito" w:cs="Nunito" w:eastAsia="Nunito" w:hAnsi="Nunito"/>
          <w:b/>
          <w:bCs/>
          <w:color w:val="1D2433"/>
          <w:sz w:val="20"/>
          <w:szCs w:val="20"/>
        </w:rPr>
        <w:t xml:space="preserve">1er septembre 2026</w:t>
      </w:r>
      <w:r>
        <w:rPr>
          <w:rFonts w:ascii="Nunito" w:cs="Nunito" w:eastAsia="Nunito" w:hAnsi="Nunito"/>
          <w:color w:val="1D2433"/>
          <w:sz w:val="20"/>
          <w:szCs w:val="20"/>
        </w:rPr>
        <w:t xml:space="preserve">, la hausse progressive de l'âge légal et de la durée d'assurance prévue par la réforme de 2023, jusqu'en janvier 2028. Les générations 1964 à 1968 sont concernées.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1900"/>
        <w:gridCol w:w="1838"/>
      </w:tblGrid>
      <w:tr>
        <w:trPr>
          <w:cantSplit/>
          <w:tblHeader/>
        </w:trPr>
        <w:tc>
          <w:tcPr>
            <w:tcW w:type="dxa" w:w="24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Génération</w:t>
            </w:r>
          </w:p>
        </w:tc>
        <w:tc>
          <w:tcPr>
            <w:tcW w:type="dxa" w:w="18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Âge légal</w:t>
            </w:r>
          </w:p>
        </w:tc>
        <w:tc>
          <w:tcPr>
            <w:tcW w:type="dxa" w:w="17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Trimestres requis</w:t>
            </w:r>
          </w:p>
        </w:tc>
        <w:tc>
          <w:tcPr>
            <w:tcW w:type="dxa" w:w="19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Âge avant suspension</w:t>
            </w:r>
          </w:p>
        </w:tc>
        <w:tc>
          <w:tcPr>
            <w:tcW w:type="dxa" w:w="1838"/>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Trimestres avant suspension</w:t>
            </w:r>
          </w:p>
        </w:tc>
      </w:tr>
      <w:tr>
        <w:trPr>
          <w:cantSplit/>
          <w:tblHeader w:val="off"/>
        </w:trPr>
        <w:tc>
          <w:tcPr>
            <w:tcW w:type="dxa" w:w="24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1963</w:t>
            </w:r>
          </w:p>
        </w:tc>
        <w:tc>
          <w:tcPr>
            <w:tcW w:type="dxa" w:w="18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62 ans 9 mois</w:t>
            </w:r>
          </w:p>
        </w:tc>
        <w:tc>
          <w:tcPr>
            <w:tcW w:type="dxa" w:w="17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170</w:t>
            </w:r>
          </w:p>
        </w:tc>
        <w:tc>
          <w:tcPr>
            <w:tcW w:type="dxa" w:w="19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Inchangé</w:t>
            </w:r>
          </w:p>
        </w:tc>
        <w:tc>
          <w:tcPr>
            <w:tcW w:type="dxa" w:w="18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Inchangé</w:t>
            </w:r>
          </w:p>
        </w:tc>
      </w:tr>
      <w:tr>
        <w:trPr>
          <w:cantSplit/>
          <w:tblHeader w:val="off"/>
        </w:trPr>
        <w:tc>
          <w:tcPr>
            <w:tcW w:type="dxa" w:w="24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1964</w:t>
            </w:r>
          </w:p>
        </w:tc>
        <w:tc>
          <w:tcPr>
            <w:tcW w:type="dxa" w:w="18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62 ans 9 mois</w:t>
            </w:r>
          </w:p>
        </w:tc>
        <w:tc>
          <w:tcPr>
            <w:tcW w:type="dxa" w:w="17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170</w:t>
            </w:r>
          </w:p>
        </w:tc>
        <w:tc>
          <w:tcPr>
            <w:tcW w:type="dxa" w:w="19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63 ans</w:t>
            </w:r>
          </w:p>
        </w:tc>
        <w:tc>
          <w:tcPr>
            <w:tcW w:type="dxa" w:w="18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171</w:t>
            </w:r>
          </w:p>
        </w:tc>
      </w:tr>
      <w:tr>
        <w:trPr>
          <w:cantSplit/>
          <w:tblHeader w:val="off"/>
        </w:trPr>
        <w:tc>
          <w:tcPr>
            <w:tcW w:type="dxa" w:w="24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1965 (1er janv. – 31 mars)</w:t>
            </w:r>
          </w:p>
        </w:tc>
        <w:tc>
          <w:tcPr>
            <w:tcW w:type="dxa" w:w="18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62 ans 9 mois</w:t>
            </w:r>
          </w:p>
        </w:tc>
        <w:tc>
          <w:tcPr>
            <w:tcW w:type="dxa" w:w="17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170</w:t>
            </w:r>
          </w:p>
        </w:tc>
        <w:tc>
          <w:tcPr>
            <w:tcW w:type="dxa" w:w="19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63 ans 3 mois</w:t>
            </w:r>
          </w:p>
        </w:tc>
        <w:tc>
          <w:tcPr>
            <w:tcW w:type="dxa" w:w="18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172</w:t>
            </w:r>
          </w:p>
        </w:tc>
      </w:tr>
      <w:tr>
        <w:trPr>
          <w:cantSplit/>
          <w:tblHeader w:val="off"/>
        </w:trPr>
        <w:tc>
          <w:tcPr>
            <w:tcW w:type="dxa" w:w="24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1965 (1er avril – 31 déc.)</w:t>
            </w:r>
          </w:p>
        </w:tc>
        <w:tc>
          <w:tcPr>
            <w:tcW w:type="dxa" w:w="18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63 ans</w:t>
            </w:r>
          </w:p>
        </w:tc>
        <w:tc>
          <w:tcPr>
            <w:tcW w:type="dxa" w:w="17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171</w:t>
            </w:r>
          </w:p>
        </w:tc>
        <w:tc>
          <w:tcPr>
            <w:tcW w:type="dxa" w:w="19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63 ans 3 mois</w:t>
            </w:r>
          </w:p>
        </w:tc>
        <w:tc>
          <w:tcPr>
            <w:tcW w:type="dxa" w:w="18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172</w:t>
            </w:r>
          </w:p>
        </w:tc>
      </w:tr>
      <w:tr>
        <w:trPr>
          <w:cantSplit/>
          <w:tblHeader w:val="off"/>
        </w:trPr>
        <w:tc>
          <w:tcPr>
            <w:tcW w:type="dxa" w:w="24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1966</w:t>
            </w:r>
          </w:p>
        </w:tc>
        <w:tc>
          <w:tcPr>
            <w:tcW w:type="dxa" w:w="18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63 ans 3 mois</w:t>
            </w:r>
          </w:p>
        </w:tc>
        <w:tc>
          <w:tcPr>
            <w:tcW w:type="dxa" w:w="17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172</w:t>
            </w:r>
          </w:p>
        </w:tc>
        <w:tc>
          <w:tcPr>
            <w:tcW w:type="dxa" w:w="19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63 ans 6 mois</w:t>
            </w:r>
          </w:p>
        </w:tc>
        <w:tc>
          <w:tcPr>
            <w:tcW w:type="dxa" w:w="18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172</w:t>
            </w:r>
          </w:p>
        </w:tc>
      </w:tr>
      <w:tr>
        <w:trPr>
          <w:cantSplit/>
          <w:tblHeader w:val="off"/>
        </w:trPr>
        <w:tc>
          <w:tcPr>
            <w:tcW w:type="dxa" w:w="24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1967</w:t>
            </w:r>
          </w:p>
        </w:tc>
        <w:tc>
          <w:tcPr>
            <w:tcW w:type="dxa" w:w="18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63 ans 6 mois</w:t>
            </w:r>
          </w:p>
        </w:tc>
        <w:tc>
          <w:tcPr>
            <w:tcW w:type="dxa" w:w="17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172</w:t>
            </w:r>
          </w:p>
        </w:tc>
        <w:tc>
          <w:tcPr>
            <w:tcW w:type="dxa" w:w="19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63 ans 9 mois</w:t>
            </w:r>
          </w:p>
        </w:tc>
        <w:tc>
          <w:tcPr>
            <w:tcW w:type="dxa" w:w="18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172</w:t>
            </w:r>
          </w:p>
        </w:tc>
      </w:tr>
      <w:tr>
        <w:trPr>
          <w:cantSplit/>
          <w:tblHeader w:val="off"/>
        </w:trPr>
        <w:tc>
          <w:tcPr>
            <w:tcW w:type="dxa" w:w="24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1968</w:t>
            </w:r>
          </w:p>
        </w:tc>
        <w:tc>
          <w:tcPr>
            <w:tcW w:type="dxa" w:w="18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63 ans 9 mois</w:t>
            </w:r>
          </w:p>
        </w:tc>
        <w:tc>
          <w:tcPr>
            <w:tcW w:type="dxa" w:w="17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172</w:t>
            </w:r>
          </w:p>
        </w:tc>
        <w:tc>
          <w:tcPr>
            <w:tcW w:type="dxa" w:w="19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64 ans</w:t>
            </w:r>
          </w:p>
        </w:tc>
        <w:tc>
          <w:tcPr>
            <w:tcW w:type="dxa" w:w="18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172</w:t>
            </w:r>
          </w:p>
        </w:tc>
      </w:tr>
      <w:tr>
        <w:trPr>
          <w:cantSplit/>
          <w:tblHeader w:val="off"/>
        </w:trPr>
        <w:tc>
          <w:tcPr>
            <w:tcW w:type="dxa" w:w="24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À partir de 1969</w:t>
            </w:r>
          </w:p>
        </w:tc>
        <w:tc>
          <w:tcPr>
            <w:tcW w:type="dxa" w:w="18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64 ans</w:t>
            </w:r>
          </w:p>
        </w:tc>
        <w:tc>
          <w:tcPr>
            <w:tcW w:type="dxa" w:w="17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172</w:t>
            </w:r>
          </w:p>
        </w:tc>
        <w:tc>
          <w:tcPr>
            <w:tcW w:type="dxa" w:w="19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Inchangé</w:t>
            </w:r>
          </w:p>
        </w:tc>
        <w:tc>
          <w:tcPr>
            <w:tcW w:type="dxa" w:w="18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Inchangé</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F7EF" w:sz="4"/>
              <w:left w:val="single" w:color="C8A96B" w:sz="24"/>
              <w:bottom w:val="single" w:color="FBF7EF" w:sz="4"/>
              <w:right w:val="single" w:color="FBF7EF" w:sz="4"/>
            </w:tcBorders>
            <w:shd w:fill="FBF7EF" w:color="auto" w:val="clear"/>
            <w:tcMar>
              <w:top w:type="dxa" w:w="100"/>
              <w:left w:type="dxa" w:w="180"/>
              <w:bottom w:type="dxa" w:w="100"/>
              <w:right w:type="dxa" w:w="160"/>
            </w:tcMar>
          </w:tcPr>
          <w:p>
            <w:pPr>
              <w:keepNext/>
              <w:spacing w:after="60"/>
            </w:pPr>
            <w:r>
              <w:rPr>
                <w:rFonts w:ascii="Nunito" w:cs="Nunito" w:eastAsia="Nunito" w:hAnsi="Nunito"/>
                <w:b/>
                <w:bCs/>
                <w:color w:val="8A6A2C"/>
                <w:sz w:val="17"/>
                <w:szCs w:val="17"/>
              </w:rPr>
              <w:t xml:space="preserve">À RETENIR</w:t>
            </w:r>
          </w:p>
          <w:p>
            <w:pPr>
              <w:keepNext/>
              <w:keepLines/>
              <w:spacing w:after="60" w:line="264"/>
            </w:pPr>
            <w:r>
              <w:rPr>
                <w:rFonts w:ascii="Nunito" w:cs="Nunito" w:eastAsia="Nunito" w:hAnsi="Nunito"/>
                <w:color w:val="1D2433"/>
                <w:sz w:val="19"/>
                <w:szCs w:val="19"/>
              </w:rPr>
              <w:t xml:space="preserve">La pension prend effet au plus tôt le </w:t>
            </w:r>
            <w:r>
              <w:rPr>
                <w:rFonts w:ascii="Nunito" w:cs="Nunito" w:eastAsia="Nunito" w:hAnsi="Nunito"/>
                <w:b/>
                <w:bCs/>
                <w:color w:val="1D2433"/>
                <w:sz w:val="19"/>
                <w:szCs w:val="19"/>
              </w:rPr>
              <w:t xml:space="preserve">premier jour du mois qui suit</w:t>
            </w:r>
            <w:r>
              <w:rPr>
                <w:rFonts w:ascii="Nunito" w:cs="Nunito" w:eastAsia="Nunito" w:hAnsi="Nunito"/>
                <w:color w:val="1D2433"/>
                <w:sz w:val="19"/>
                <w:szCs w:val="19"/>
              </w:rPr>
              <w:t xml:space="preserve"> l'âge légal.</w:t>
            </w:r>
          </w:p>
          <w:p>
            <w:pPr>
              <w:keepNext/>
              <w:keepLines/>
              <w:spacing w:after="60" w:line="264"/>
            </w:pPr>
            <w:r>
              <w:rPr>
                <w:rFonts w:ascii="Nunito" w:cs="Nunito" w:eastAsia="Nunito" w:hAnsi="Nunito"/>
                <w:color w:val="1D2433"/>
                <w:sz w:val="19"/>
                <w:szCs w:val="19"/>
              </w:rPr>
              <w:t xml:space="preserve">L'âge du taux plein automatique reste </w:t>
            </w:r>
            <w:r>
              <w:rPr>
                <w:rFonts w:ascii="Nunito" w:cs="Nunito" w:eastAsia="Nunito" w:hAnsi="Nunito"/>
                <w:b/>
                <w:bCs/>
                <w:color w:val="1D2433"/>
                <w:sz w:val="19"/>
                <w:szCs w:val="19"/>
              </w:rPr>
              <w:t xml:space="preserve">67 ans</w:t>
            </w:r>
            <w:r>
              <w:rPr>
                <w:rFonts w:ascii="Nunito" w:cs="Nunito" w:eastAsia="Nunito" w:hAnsi="Nunito"/>
                <w:color w:val="1D2433"/>
                <w:sz w:val="19"/>
                <w:szCs w:val="19"/>
              </w:rPr>
              <w:t xml:space="preserve"> pour toutes ces générations.</w:t>
            </w:r>
          </w:p>
          <w:p>
            <w:pPr>
              <w:keepNext/>
              <w:keepLines/>
              <w:spacing w:after="60" w:line="264"/>
            </w:pPr>
            <w:r>
              <w:rPr>
                <w:rFonts w:ascii="Nunito" w:cs="Nunito" w:eastAsia="Nunito" w:hAnsi="Nunito"/>
                <w:color w:val="1D2433"/>
                <w:sz w:val="19"/>
                <w:szCs w:val="19"/>
              </w:rPr>
              <w:t xml:space="preserve">Réflexe de veille : avant de répondre, vérifier la règle en vigueur </w:t>
            </w:r>
            <w:r>
              <w:rPr>
                <w:rFonts w:ascii="Nunito" w:cs="Nunito" w:eastAsia="Nunito" w:hAnsi="Nunito"/>
                <w:b/>
                <w:bCs/>
                <w:color w:val="1D2433"/>
                <w:sz w:val="19"/>
                <w:szCs w:val="19"/>
              </w:rPr>
              <w:t xml:space="preserve">à la date d'effet</w:t>
            </w:r>
            <w:r>
              <w:rPr>
                <w:rFonts w:ascii="Nunito" w:cs="Nunito" w:eastAsia="Nunito" w:hAnsi="Nunito"/>
                <w:color w:val="1D2433"/>
                <w:sz w:val="19"/>
                <w:szCs w:val="19"/>
              </w:rPr>
              <w:t xml:space="preserve"> — sources officielles : info-retraite.fr, lassuranceretraite.fr, textes de loi et circulaires de la caisse.</w:t>
            </w:r>
          </w:p>
        </w:tc>
      </w:tr>
    </w:tbl>
    <w:p>
      <w:pPr>
        <w:pStyle w:val="Heading2"/>
        <w:keepNext/>
        <w:spacing w:after="100" w:before="240"/>
      </w:pPr>
      <w:r>
        <w:rPr>
          <w:rFonts w:ascii="Fraunces" w:cs="Fraunces" w:eastAsia="Fraunces" w:hAnsi="Fraunces"/>
          <w:b/>
          <w:bCs/>
          <w:color w:val="0D2B56"/>
          <w:sz w:val="25"/>
          <w:szCs w:val="25"/>
        </w:rPr>
        <w:t xml:space="preserve">Exercice</w:t>
      </w:r>
    </w:p>
    <w:p>
      <w:pPr>
        <w:keepLines/>
        <w:spacing w:after="100" w:line="276"/>
      </w:pPr>
      <w:r>
        <w:rPr>
          <w:rFonts w:ascii="Nunito" w:cs="Nunito" w:eastAsia="Nunito" w:hAnsi="Nunito"/>
          <w:color w:val="1D2433"/>
          <w:sz w:val="20"/>
          <w:szCs w:val="20"/>
        </w:rPr>
        <w:t xml:space="preserve">Pour chaque assuré du portefeuille, déterminez l'âge légal, la durée requise et la date d'effet au plus tôt, puis ce que la suspension change pour lui.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500"/>
        <w:gridCol w:w="2738"/>
      </w:tblGrid>
      <w:tr>
        <w:trPr>
          <w:cantSplit/>
          <w:tblHeader/>
        </w:trPr>
        <w:tc>
          <w:tcPr>
            <w:tcW w:type="dxa" w:w="25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Assuré</w:t>
            </w:r>
          </w:p>
        </w:tc>
        <w:tc>
          <w:tcPr>
            <w:tcW w:type="dxa" w:w="19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Âge légal · durée</w:t>
            </w:r>
          </w:p>
        </w:tc>
        <w:tc>
          <w:tcPr>
            <w:tcW w:type="dxa" w:w="25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Effet au plus tôt</w:t>
            </w:r>
          </w:p>
        </w:tc>
        <w:tc>
          <w:tcPr>
            <w:tcW w:type="dxa" w:w="2738"/>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Effet de la suspension</w:t>
            </w:r>
          </w:p>
        </w:tc>
      </w:tr>
      <w:tr>
        <w:trPr>
          <w:cantSplit/>
          <w:tblHeader w:val="off"/>
        </w:trPr>
        <w:tc>
          <w:tcPr>
            <w:tcW w:type="dxa" w:w="25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M. VASSEUR, né le 03/11/1963</w:t>
            </w:r>
          </w:p>
        </w:tc>
        <w:tc>
          <w:tcPr>
            <w:tcW w:type="dxa" w:w="19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c>
          <w:tcPr>
            <w:tcW w:type="dxa" w:w="25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c>
          <w:tcPr>
            <w:tcW w:type="dxa" w:w="27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25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Mme DUPONT, née le 22/06/1964</w:t>
            </w:r>
          </w:p>
        </w:tc>
        <w:tc>
          <w:tcPr>
            <w:tcW w:type="dxa" w:w="19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c>
          <w:tcPr>
            <w:tcW w:type="dxa" w:w="25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c>
          <w:tcPr>
            <w:tcW w:type="dxa" w:w="27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25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M. BENALI, né le 14/03/1966</w:t>
            </w:r>
          </w:p>
        </w:tc>
        <w:tc>
          <w:tcPr>
            <w:tcW w:type="dxa" w:w="19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c>
          <w:tcPr>
            <w:tcW w:type="dxa" w:w="25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c>
          <w:tcPr>
            <w:tcW w:type="dxa" w:w="27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25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M. MARTIN, né le 09/09/1992</w:t>
            </w:r>
          </w:p>
        </w:tc>
        <w:tc>
          <w:tcPr>
            <w:tcW w:type="dxa" w:w="19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c>
          <w:tcPr>
            <w:tcW w:type="dxa" w:w="25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c>
          <w:tcPr>
            <w:tcW w:type="dxa" w:w="27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bl>
    <w:p>
      <w:r>
        <w:br w:type="page"/>
      </w:r>
    </w:p>
    <w:p>
      <w:pPr>
        <w:pStyle w:val="Heading1"/>
        <w:keepNext/>
        <w:pBdr>
          <w:bottom w:val="single" w:color="C8A96B" w:sz="12" w:space="4"/>
        </w:pBdr>
        <w:spacing w:after="160" w:before="120"/>
      </w:pPr>
      <w:r>
        <w:rPr>
          <w:rFonts w:ascii="Fraunces" w:cs="Fraunces" w:eastAsia="Fraunces" w:hAnsi="Fraunces"/>
          <w:b/>
          <w:bCs/>
          <w:color w:val="0D2B56"/>
          <w:sz w:val="32"/>
          <w:szCs w:val="32"/>
        </w:rPr>
        <w:t xml:space="preserve">Séquence 3 — Calcul guidé : la pension de M. BENALI</w:t>
      </w:r>
    </w:p>
    <w:p>
      <w:pPr>
        <w:keepLines/>
        <w:spacing w:after="100" w:line="276"/>
      </w:pPr>
      <w:r>
        <w:rPr>
          <w:rFonts w:ascii="Nunito" w:cs="Nunito" w:eastAsia="Nunito" w:hAnsi="Nunito"/>
          <w:b/>
          <w:bCs/>
          <w:color w:val="1D2433"/>
          <w:sz w:val="20"/>
          <w:szCs w:val="20"/>
        </w:rPr>
        <w:t xml:space="preserve">Durée : 1 h 40</w:t>
      </w:r>
      <w:r>
        <w:rPr>
          <w:rFonts w:ascii="Nunito" w:cs="Nunito" w:eastAsia="Nunito" w:hAnsi="Nunito"/>
          <w:color w:val="1D2433"/>
          <w:sz w:val="20"/>
          <w:szCs w:val="20"/>
        </w:rPr>
        <w:t xml:space="preserve"> · Démonstration de la méthode (35 min), calcul en binôme sur la fiche (40 min), exercice interactif n°1 (25 min) · PDF « Séquence 3 »</w:t>
      </w:r>
    </w:p>
    <w:p>
      <w:pPr>
        <w:pStyle w:val="Heading2"/>
        <w:keepNext/>
        <w:spacing w:after="100" w:before="240"/>
      </w:pPr>
      <w:r>
        <w:rPr>
          <w:rFonts w:ascii="Fraunces" w:cs="Fraunces" w:eastAsia="Fraunces" w:hAnsi="Fraunces"/>
          <w:b/>
          <w:bCs/>
          <w:color w:val="0D2B56"/>
          <w:sz w:val="25"/>
          <w:szCs w:val="25"/>
        </w:rPr>
        <w:t xml:space="preserve">La méthode en six étapes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Étape</w:t>
            </w:r>
          </w:p>
        </w:tc>
        <w:tc>
          <w:tcPr>
            <w:tcW w:type="dxa" w:w="7038"/>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Règle</w:t>
            </w:r>
          </w:p>
        </w:tc>
      </w:tr>
      <w:tr>
        <w:trPr>
          <w:cantSplit/>
          <w:tblHeader w:val="off"/>
        </w:trPr>
        <w:tc>
          <w:tcPr>
            <w:tcW w:type="dxa" w:w="26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 Vérifier les conditions</w:t>
            </w:r>
          </w:p>
        </w:tc>
        <w:tc>
          <w:tcPr>
            <w:tcW w:type="dxa" w:w="70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Âge légal atteint à la date d'effet ; durée d'assurance tous régimes comparée à la durée requise de la génération</w:t>
            </w:r>
          </w:p>
        </w:tc>
      </w:tr>
      <w:tr>
        <w:trPr>
          <w:cantSplit/>
          <w:tblHeader w:val="off"/>
        </w:trPr>
        <w:tc>
          <w:tcPr>
            <w:tcW w:type="dxa" w:w="26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2. Déterminer le taux</w:t>
            </w:r>
          </w:p>
        </w:tc>
        <w:tc>
          <w:tcPr>
            <w:tcW w:type="dxa" w:w="70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50 % si la durée requise est atteinte (ou à 67 ans) ; sinon décote de 0,625 point par trimestre manquant, au plus 20 trimestres, en retenant le calcul le plus favorable : trimestres manquants pour la durée requise, ou trimestres restant jusqu'à 67 ans</w:t>
            </w:r>
          </w:p>
        </w:tc>
      </w:tr>
      <w:tr>
        <w:trPr>
          <w:cantSplit/>
          <w:tblHeader w:val="off"/>
        </w:trPr>
        <w:tc>
          <w:tcPr>
            <w:tcW w:type="dxa" w:w="26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3. Sélectionner les années</w:t>
            </w:r>
          </w:p>
        </w:tc>
        <w:tc>
          <w:tcPr>
            <w:tcW w:type="dxa" w:w="70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Les 25 années dont les salaires revalorisés sont les plus élevés. L'année de la date d'effet n'est pas retenue</w:t>
            </w:r>
          </w:p>
        </w:tc>
      </w:tr>
      <w:tr>
        <w:trPr>
          <w:cantSplit/>
          <w:tblHeader w:val="off"/>
        </w:trPr>
        <w:tc>
          <w:tcPr>
            <w:tcW w:type="dxa" w:w="26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4. Calculer le SAM</w:t>
            </w:r>
          </w:p>
        </w:tc>
        <w:tc>
          <w:tcPr>
            <w:tcW w:type="dxa" w:w="70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Somme des 25 salaires revalorisés ÷ 25. Chaque salaire a été retenu dans la limite du PASS de son année</w:t>
            </w:r>
          </w:p>
        </w:tc>
      </w:tr>
      <w:tr>
        <w:trPr>
          <w:cantSplit/>
          <w:tblHeader w:val="off"/>
        </w:trPr>
        <w:tc>
          <w:tcPr>
            <w:tcW w:type="dxa" w:w="26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5. Proratiser</w:t>
            </w:r>
          </w:p>
        </w:tc>
        <w:tc>
          <w:tcPr>
            <w:tcW w:type="dxa" w:w="70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Trimestres du régime général (majorations comprises) ÷ durée requise, plafonné à 1</w:t>
            </w:r>
          </w:p>
        </w:tc>
      </w:tr>
      <w:tr>
        <w:trPr>
          <w:cantSplit/>
          <w:tblHeader w:val="off"/>
        </w:trPr>
        <w:tc>
          <w:tcPr>
            <w:tcW w:type="dxa" w:w="26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6. Calculer la pension</w:t>
            </w:r>
          </w:p>
        </w:tc>
        <w:tc>
          <w:tcPr>
            <w:tcW w:type="dxa" w:w="70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SAM × taux × coefficient de proratisation = pension annuelle brute ; ÷ 12 pour le montant mensuel. Surcote éventuelle : + 1,25 % par trimestre cotisé après l'âge légal au-delà de la durée requise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F7EF" w:sz="4"/>
              <w:left w:val="single" w:color="C8A96B" w:sz="24"/>
              <w:bottom w:val="single" w:color="FBF7EF" w:sz="4"/>
              <w:right w:val="single" w:color="FBF7EF" w:sz="4"/>
            </w:tcBorders>
            <w:shd w:fill="FBF7EF" w:color="auto" w:val="clear"/>
            <w:tcMar>
              <w:top w:type="dxa" w:w="100"/>
              <w:left w:type="dxa" w:w="180"/>
              <w:bottom w:type="dxa" w:w="100"/>
              <w:right w:type="dxa" w:w="160"/>
            </w:tcMar>
          </w:tcPr>
          <w:p>
            <w:pPr>
              <w:keepNext/>
              <w:spacing w:after="60"/>
            </w:pPr>
            <w:r>
              <w:rPr>
                <w:rFonts w:ascii="Nunito" w:cs="Nunito" w:eastAsia="Nunito" w:hAnsi="Nunito"/>
                <w:b/>
                <w:bCs/>
                <w:color w:val="8A6A2C"/>
                <w:sz w:val="17"/>
                <w:szCs w:val="17"/>
              </w:rPr>
              <w:t xml:space="preserve">PIÈGES FRÉQUENTS</w:t>
            </w:r>
          </w:p>
          <w:p>
            <w:pPr>
              <w:keepNext/>
              <w:keepLines/>
              <w:spacing w:after="60" w:line="264"/>
            </w:pPr>
            <w:r>
              <w:rPr>
                <w:rFonts w:ascii="Nunito" w:cs="Nunito" w:eastAsia="Nunito" w:hAnsi="Nunito"/>
                <w:color w:val="1D2433"/>
                <w:sz w:val="19"/>
                <w:szCs w:val="19"/>
              </w:rPr>
              <w:t xml:space="preserve">Compter l'année de la date d'effet dans le SAM.</w:t>
            </w:r>
          </w:p>
          <w:p>
            <w:pPr>
              <w:keepNext/>
              <w:keepLines/>
              <w:spacing w:after="60" w:line="264"/>
            </w:pPr>
            <w:r>
              <w:rPr>
                <w:rFonts w:ascii="Nunito" w:cs="Nunito" w:eastAsia="Nunito" w:hAnsi="Nunito"/>
                <w:color w:val="1D2433"/>
                <w:sz w:val="19"/>
                <w:szCs w:val="19"/>
              </w:rPr>
              <w:t xml:space="preserve">Prendre les 25 dernières années au lieu des 25 meilleures.</w:t>
            </w:r>
          </w:p>
          <w:p>
            <w:pPr>
              <w:keepNext/>
              <w:keepLines/>
              <w:spacing w:after="60" w:line="264"/>
            </w:pPr>
            <w:r>
              <w:rPr>
                <w:rFonts w:ascii="Nunito" w:cs="Nunito" w:eastAsia="Nunito" w:hAnsi="Nunito"/>
                <w:color w:val="1D2433"/>
                <w:sz w:val="19"/>
                <w:szCs w:val="19"/>
              </w:rPr>
              <w:t xml:space="preserve">Oublier de plafonner la proratisation à 1 quand la durée dépasse la durée requise.</w:t>
            </w:r>
          </w:p>
          <w:p>
            <w:pPr>
              <w:keepNext/>
              <w:keepLines/>
              <w:spacing w:after="60" w:line="264"/>
            </w:pPr>
            <w:r>
              <w:rPr>
                <w:rFonts w:ascii="Nunito" w:cs="Nunito" w:eastAsia="Nunito" w:hAnsi="Nunito"/>
                <w:color w:val="1D2433"/>
                <w:sz w:val="19"/>
                <w:szCs w:val="19"/>
              </w:rPr>
              <w:t xml:space="preserve">Confondre la décote (0,625 point retiré au taux) et la minoration de la pension (1,25 % par trimestre).</w:t>
            </w:r>
          </w:p>
        </w:tc>
      </w:tr>
    </w:tbl>
    <w:p>
      <w:pPr>
        <w:pStyle w:val="Heading2"/>
        <w:keepNext/>
        <w:spacing w:after="100" w:before="240"/>
      </w:pPr>
      <w:r>
        <w:rPr>
          <w:rFonts w:ascii="Fraunces" w:cs="Fraunces" w:eastAsia="Fraunces" w:hAnsi="Fraunces"/>
          <w:b/>
          <w:bCs/>
          <w:color w:val="0D2B56"/>
          <w:sz w:val="25"/>
          <w:szCs w:val="25"/>
        </w:rPr>
        <w:t xml:space="preserve">Le dossier</w:t>
      </w:r>
    </w:p>
    <w:p>
      <w:pPr>
        <w:keepLines/>
        <w:spacing w:after="100" w:line="276"/>
      </w:pPr>
      <w:r>
        <w:rPr>
          <w:rFonts w:ascii="Nunito" w:cs="Nunito" w:eastAsia="Nunito" w:hAnsi="Nunito"/>
          <w:color w:val="1D2433"/>
          <w:sz w:val="20"/>
          <w:szCs w:val="20"/>
        </w:rPr>
        <w:t xml:space="preserve">Demande reçue le 08/01/2029 pour un départ au 01/07/2029. Complétez la fiche d'instruction : conditions, durée totale, années retenues (cochez-les), puis le cadre de calcul.</w:t>
      </w:r>
    </w:p>
    <w:p>
      <w:pPr>
        <w:keepNext/>
        <w:spacing w:after="60" w:before="160"/>
      </w:pPr>
      <w:r>
        <w:rPr>
          <w:rFonts w:ascii="Nunito" w:cs="Nunito" w:eastAsia="Nunito" w:hAnsi="Nunito"/>
          <w:b/>
          <w:bCs/>
          <w:color w:val="0F4C81"/>
          <w:sz w:val="21"/>
          <w:szCs w:val="21"/>
        </w:rPr>
        <w:t xml:space="preserve">Vos résultats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Élément</w:t>
            </w:r>
          </w:p>
        </w:tc>
        <w:tc>
          <w:tcPr>
            <w:tcW w:type="dxa" w:w="6638"/>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Votre résultat</w:t>
            </w:r>
          </w:p>
        </w:tc>
      </w:tr>
      <w:tr>
        <w:trPr>
          <w:cantSplit/>
          <w:tblHeader w:val="off"/>
        </w:trPr>
        <w:tc>
          <w:tcPr>
            <w:tcW w:type="dxa" w:w="3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Âge légal (génération 1966)</w:t>
            </w:r>
          </w:p>
        </w:tc>
        <w:tc>
          <w:tcPr>
            <w:tcW w:type="dxa" w:w="66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3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Date d'effet au plus tôt</w:t>
            </w:r>
          </w:p>
        </w:tc>
        <w:tc>
          <w:tcPr>
            <w:tcW w:type="dxa" w:w="66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3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Durée requise</w:t>
            </w:r>
          </w:p>
        </w:tc>
        <w:tc>
          <w:tcPr>
            <w:tcW w:type="dxa" w:w="66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3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Durée d'assurance à la date d'effet</w:t>
            </w:r>
          </w:p>
        </w:tc>
        <w:tc>
          <w:tcPr>
            <w:tcW w:type="dxa" w:w="66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3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Taux</w:t>
            </w:r>
          </w:p>
        </w:tc>
        <w:tc>
          <w:tcPr>
            <w:tcW w:type="dxa" w:w="66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3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Années retenues</w:t>
            </w:r>
          </w:p>
        </w:tc>
        <w:tc>
          <w:tcPr>
            <w:tcW w:type="dxa" w:w="66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3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Plus faible salaire retenu</w:t>
            </w:r>
          </w:p>
        </w:tc>
        <w:tc>
          <w:tcPr>
            <w:tcW w:type="dxa" w:w="66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3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Somme des 25 salaires</w:t>
            </w:r>
          </w:p>
        </w:tc>
        <w:tc>
          <w:tcPr>
            <w:tcW w:type="dxa" w:w="66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3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SAM</w:t>
            </w:r>
          </w:p>
        </w:tc>
        <w:tc>
          <w:tcPr>
            <w:tcW w:type="dxa" w:w="66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3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Proratisation</w:t>
            </w:r>
          </w:p>
        </w:tc>
        <w:tc>
          <w:tcPr>
            <w:tcW w:type="dxa" w:w="66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3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Pension annuelle brute</w:t>
            </w:r>
          </w:p>
        </w:tc>
        <w:tc>
          <w:tcPr>
            <w:tcW w:type="dxa" w:w="66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3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Pension mensuelle brute</w:t>
            </w:r>
          </w:p>
        </w:tc>
        <w:tc>
          <w:tcPr>
            <w:tcW w:type="dxa" w:w="66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bl>
    <w:p>
      <w:r>
        <w:br w:type="page"/>
      </w:r>
    </w:p>
    <w:p>
      <w:pPr>
        <w:pStyle w:val="Heading1"/>
        <w:keepNext/>
        <w:pBdr>
          <w:bottom w:val="single" w:color="C8A96B" w:sz="12" w:space="4"/>
        </w:pBdr>
        <w:spacing w:after="160" w:before="120"/>
      </w:pPr>
      <w:r>
        <w:rPr>
          <w:rFonts w:ascii="Fraunces" w:cs="Fraunces" w:eastAsia="Fraunces" w:hAnsi="Fraunces"/>
          <w:b/>
          <w:bCs/>
          <w:color w:val="0D2B56"/>
          <w:sz w:val="32"/>
          <w:szCs w:val="32"/>
        </w:rPr>
        <w:t xml:space="preserve">Séquence 4 — En autonomie : Mme DUPONT et les calculs express</w:t>
      </w:r>
    </w:p>
    <w:p>
      <w:pPr>
        <w:keepLines/>
        <w:spacing w:after="100" w:line="276"/>
      </w:pPr>
      <w:r>
        <w:rPr>
          <w:rFonts w:ascii="Nunito" w:cs="Nunito" w:eastAsia="Nunito" w:hAnsi="Nunito"/>
          <w:b/>
          <w:bCs/>
          <w:color w:val="1D2433"/>
          <w:sz w:val="20"/>
          <w:szCs w:val="20"/>
        </w:rPr>
        <w:t xml:space="preserve">Durée : 1 h 30</w:t>
      </w:r>
      <w:r>
        <w:rPr>
          <w:rFonts w:ascii="Nunito" w:cs="Nunito" w:eastAsia="Nunito" w:hAnsi="Nunito"/>
          <w:color w:val="1D2433"/>
          <w:sz w:val="20"/>
          <w:szCs w:val="20"/>
        </w:rPr>
        <w:t xml:space="preserve"> · Dossier DUPONT en binôme (50 min), calculs express sur l'exercice interactif n°2 (25 min), correction (15 min) · PDF « Séquence 4 »</w:t>
      </w:r>
    </w:p>
    <w:p>
      <w:pPr>
        <w:pStyle w:val="Heading2"/>
        <w:keepNext/>
        <w:spacing w:after="100" w:before="240"/>
      </w:pPr>
      <w:r>
        <w:rPr>
          <w:rFonts w:ascii="Fraunces" w:cs="Fraunces" w:eastAsia="Fraunces" w:hAnsi="Fraunces"/>
          <w:b/>
          <w:bCs/>
          <w:color w:val="0D2B56"/>
          <w:sz w:val="25"/>
          <w:szCs w:val="25"/>
        </w:rPr>
        <w:t xml:space="preserve">Le dossier de Mme DUPONT</w:t>
      </w:r>
    </w:p>
    <w:p>
      <w:pPr>
        <w:keepLines/>
        <w:spacing w:after="100" w:line="276"/>
      </w:pPr>
      <w:r>
        <w:rPr>
          <w:rFonts w:ascii="Nunito" w:cs="Nunito" w:eastAsia="Nunito" w:hAnsi="Nunito"/>
          <w:color w:val="1D2433"/>
          <w:sz w:val="20"/>
          <w:szCs w:val="20"/>
        </w:rPr>
        <w:t xml:space="preserve">Demande reçue le 05/10/2026, date d'effet demandée le 01/07/2027. Vérifiez cette date, puis calculez la pension à la date d'effet au plus tôt.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Élément</w:t>
            </w:r>
          </w:p>
        </w:tc>
        <w:tc>
          <w:tcPr>
            <w:tcW w:type="dxa" w:w="6638"/>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Votre résultat</w:t>
            </w:r>
          </w:p>
        </w:tc>
      </w:tr>
      <w:tr>
        <w:trPr>
          <w:cantSplit/>
          <w:tblHeader w:val="off"/>
        </w:trPr>
        <w:tc>
          <w:tcPr>
            <w:tcW w:type="dxa" w:w="3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Âge légal (génération 1964)</w:t>
            </w:r>
          </w:p>
        </w:tc>
        <w:tc>
          <w:tcPr>
            <w:tcW w:type="dxa" w:w="66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3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Date d'effet au plus tôt</w:t>
            </w:r>
          </w:p>
        </w:tc>
        <w:tc>
          <w:tcPr>
            <w:tcW w:type="dxa" w:w="66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3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Durée requise</w:t>
            </w:r>
          </w:p>
        </w:tc>
        <w:tc>
          <w:tcPr>
            <w:tcW w:type="dxa" w:w="66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3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Durée d'assurance</w:t>
            </w:r>
          </w:p>
        </w:tc>
        <w:tc>
          <w:tcPr>
            <w:tcW w:type="dxa" w:w="66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3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Taux</w:t>
            </w:r>
          </w:p>
        </w:tc>
        <w:tc>
          <w:tcPr>
            <w:tcW w:type="dxa" w:w="66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3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Années retenues</w:t>
            </w:r>
          </w:p>
        </w:tc>
        <w:tc>
          <w:tcPr>
            <w:tcW w:type="dxa" w:w="66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3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Somme et SAM</w:t>
            </w:r>
          </w:p>
        </w:tc>
        <w:tc>
          <w:tcPr>
            <w:tcW w:type="dxa" w:w="66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3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Proratisation</w:t>
            </w:r>
          </w:p>
        </w:tc>
        <w:tc>
          <w:tcPr>
            <w:tcW w:type="dxa" w:w="66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3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Pension</w:t>
            </w:r>
          </w:p>
        </w:tc>
        <w:tc>
          <w:tcPr>
            <w:tcW w:type="dxa" w:w="66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bl>
    <w:p>
      <w:pPr>
        <w:pStyle w:val="Heading2"/>
        <w:keepNext/>
        <w:spacing w:after="100" w:before="240"/>
      </w:pPr>
      <w:r>
        <w:rPr>
          <w:rFonts w:ascii="Fraunces" w:cs="Fraunces" w:eastAsia="Fraunces" w:hAnsi="Fraunces"/>
          <w:b/>
          <w:bCs/>
          <w:color w:val="0D2B56"/>
          <w:sz w:val="25"/>
          <w:szCs w:val="25"/>
        </w:rPr>
        <w:t xml:space="preserve">Calculs express</w:t>
      </w:r>
    </w:p>
    <w:p>
      <w:pPr>
        <w:keepLines/>
        <w:spacing w:after="100" w:line="276"/>
      </w:pPr>
      <w:r>
        <w:rPr>
          <w:rFonts w:ascii="Nunito" w:cs="Nunito" w:eastAsia="Nunito" w:hAnsi="Nunito"/>
          <w:color w:val="1D2433"/>
          <w:sz w:val="20"/>
          <w:szCs w:val="20"/>
        </w:rPr>
        <w:t xml:space="preserve">Quatre cas courts, à traiter sur l'exercice interactif n°2. Durée requise : 172 trimestres pour les générations 1966 et 1968.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Cas</w:t>
            </w:r>
          </w:p>
        </w:tc>
        <w:tc>
          <w:tcPr>
            <w:tcW w:type="dxa" w:w="7738"/>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Énoncé</w:t>
            </w:r>
          </w:p>
        </w:tc>
      </w:tr>
      <w:tr>
        <w:trPr>
          <w:cantSplit/>
          <w:tblHeader w:val="off"/>
        </w:trPr>
        <w:tc>
          <w:tcPr>
            <w:tcW w:type="dxa" w:w="19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A — Plafonnement</w:t>
            </w:r>
          </w:p>
        </w:tc>
        <w:tc>
          <w:tcPr>
            <w:tcW w:type="dxa" w:w="77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Salaires bruts 2023 : 51 000 € ; 2024 : 39 500 € ; 2025 : 49 300 €. PASS : 43 992 € (2023), 46 368 € (2024), 47 100 € (2025). Quel salaire est retenu chaque année ?</w:t>
            </w:r>
          </w:p>
        </w:tc>
      </w:tr>
      <w:tr>
        <w:trPr>
          <w:cantSplit/>
          <w:tblHeader w:val="off"/>
        </w:trPr>
        <w:tc>
          <w:tcPr>
            <w:tcW w:type="dxa" w:w="19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B — Décote</w:t>
            </w:r>
          </w:p>
        </w:tc>
        <w:tc>
          <w:tcPr>
            <w:tcW w:type="dxa" w:w="77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Mme ROUSSEL, génération 1966, part à l'âge légal avec 166 trimestres au régime général. SAM : 24 000 €.</w:t>
            </w:r>
          </w:p>
        </w:tc>
      </w:tr>
      <w:tr>
        <w:trPr>
          <w:cantSplit/>
          <w:tblHeader w:val="off"/>
        </w:trPr>
        <w:tc>
          <w:tcPr>
            <w:tcW w:type="dxa" w:w="19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C — Décote limitée par l'âge</w:t>
            </w:r>
          </w:p>
        </w:tc>
        <w:tc>
          <w:tcPr>
            <w:tcW w:type="dxa" w:w="77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M. LECLERCQ, génération 1966, part à 66 ans 6 mois avec 160 trimestres. SAM : 30 000 €.</w:t>
            </w:r>
          </w:p>
        </w:tc>
      </w:tr>
      <w:tr>
        <w:trPr>
          <w:cantSplit/>
          <w:tblHeader w:val="off"/>
        </w:trPr>
        <w:tc>
          <w:tcPr>
            <w:tcW w:type="dxa" w:w="19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D — Surcote</w:t>
            </w:r>
          </w:p>
        </w:tc>
        <w:tc>
          <w:tcPr>
            <w:tcW w:type="dxa" w:w="77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Mme FONTAINE, génération 1968, 180 trimestres dont 6 cotisés après l'âge légal au-delà de la durée requise. SAM : 28 000 €.</w:t>
            </w:r>
          </w:p>
        </w:tc>
      </w:tr>
    </w:tbl>
    <w:p>
      <w:r>
        <w:br w:type="page"/>
      </w:r>
    </w:p>
    <w:p>
      <w:pPr>
        <w:pStyle w:val="Heading1"/>
        <w:keepNext/>
        <w:pBdr>
          <w:bottom w:val="single" w:color="C8A96B" w:sz="12" w:space="4"/>
        </w:pBdr>
        <w:spacing w:after="160" w:before="120"/>
      </w:pPr>
      <w:r>
        <w:rPr>
          <w:rFonts w:ascii="Fraunces" w:cs="Fraunces" w:eastAsia="Fraunces" w:hAnsi="Fraunces"/>
          <w:b/>
          <w:bCs/>
          <w:color w:val="0D2B56"/>
          <w:sz w:val="32"/>
          <w:szCs w:val="32"/>
        </w:rPr>
        <w:t xml:space="preserve">Séquence 5 — Mise en situation : expliquer sa pension</w:t>
      </w:r>
    </w:p>
    <w:p>
      <w:pPr>
        <w:keepLines/>
        <w:spacing w:after="100" w:line="276"/>
      </w:pPr>
      <w:r>
        <w:rPr>
          <w:rFonts w:ascii="Nunito" w:cs="Nunito" w:eastAsia="Nunito" w:hAnsi="Nunito"/>
          <w:b/>
          <w:bCs/>
          <w:color w:val="1D2433"/>
          <w:sz w:val="20"/>
          <w:szCs w:val="20"/>
        </w:rPr>
        <w:t xml:space="preserve">Durée : 1 h</w:t>
      </w:r>
      <w:r>
        <w:rPr>
          <w:rFonts w:ascii="Nunito" w:cs="Nunito" w:eastAsia="Nunito" w:hAnsi="Nunito"/>
          <w:color w:val="1D2433"/>
          <w:sz w:val="20"/>
          <w:szCs w:val="20"/>
        </w:rPr>
        <w:t xml:space="preserve"> · Préparation (10 min), scénario A (15 min), scénario B avec rôles inversés (15 min), débriefing (20 min) · PDF « Séquence 5 »</w:t>
      </w:r>
    </w:p>
    <w:p>
      <w:pPr>
        <w:keepLines/>
        <w:spacing w:after="100" w:line="276"/>
      </w:pPr>
      <w:r>
        <w:rPr>
          <w:rFonts w:ascii="Nunito" w:cs="Nunito" w:eastAsia="Nunito" w:hAnsi="Nunito"/>
          <w:color w:val="1D2433"/>
          <w:sz w:val="20"/>
          <w:szCs w:val="20"/>
        </w:rPr>
        <w:t xml:space="preserve">Vous jouez les deux scénarios avec votre binôme ; vous êtes gestionnaire dans l'un et assuré dans l'autre. Lisez uniquement la fiche de votre rôle.</w:t>
      </w:r>
    </w:p>
    <w:p>
      <w:pPr>
        <w:pStyle w:val="Heading2"/>
        <w:keepNext/>
        <w:spacing w:after="100" w:before="240"/>
      </w:pPr>
      <w:r>
        <w:rPr>
          <w:rFonts w:ascii="Fraunces" w:cs="Fraunces" w:eastAsia="Fraunces" w:hAnsi="Fraunces"/>
          <w:b/>
          <w:bCs/>
          <w:color w:val="0D2B56"/>
          <w:sz w:val="25"/>
          <w:szCs w:val="25"/>
        </w:rPr>
        <w:t xml:space="preserve">Grille d'observation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8"/>
        <w:gridCol w:w="1000"/>
        <w:gridCol w:w="1500"/>
      </w:tblGrid>
      <w:tr>
        <w:trPr>
          <w:cantSplit/>
          <w:tblHeader/>
        </w:trPr>
        <w:tc>
          <w:tcPr>
            <w:tcW w:type="dxa" w:w="7138"/>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Critère</w:t>
            </w:r>
          </w:p>
        </w:tc>
        <w:tc>
          <w:tcPr>
            <w:tcW w:type="dxa" w:w="10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Oui</w:t>
            </w:r>
          </w:p>
        </w:tc>
        <w:tc>
          <w:tcPr>
            <w:tcW w:type="dxa" w:w="15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À améliorer</w:t>
            </w:r>
          </w:p>
        </w:tc>
      </w:tr>
      <w:tr>
        <w:trPr>
          <w:cantSplit/>
          <w:tblHeader w:val="off"/>
        </w:trPr>
        <w:tc>
          <w:tcPr>
            <w:tcW w:type="dxa" w:w="71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L'identité de l'assuré est vérifiée avant toute information</w:t>
            </w:r>
          </w:p>
        </w:tc>
        <w:tc>
          <w:tcPr>
            <w:tcW w:type="dxa" w:w="1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c>
          <w:tcPr>
            <w:tcW w:type="dxa" w:w="15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71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La demande est reformulée</w:t>
            </w:r>
          </w:p>
        </w:tc>
        <w:tc>
          <w:tcPr>
            <w:tcW w:type="dxa" w:w="1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c>
          <w:tcPr>
            <w:tcW w:type="dxa" w:w="15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71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L'explication est juste (règles, chiffres) et sans jargon</w:t>
            </w:r>
          </w:p>
        </w:tc>
        <w:tc>
          <w:tcPr>
            <w:tcW w:type="dxa" w:w="1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c>
          <w:tcPr>
            <w:tcW w:type="dxa" w:w="15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71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Le ton reste calme, même quand l'assuré coupe la parole ou insiste</w:t>
            </w:r>
          </w:p>
        </w:tc>
        <w:tc>
          <w:tcPr>
            <w:tcW w:type="dxa" w:w="1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c>
          <w:tcPr>
            <w:tcW w:type="dxa" w:w="15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71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Le gestionnaire ne s'engage pas sur ce qu'il n'a pas calculé</w:t>
            </w:r>
          </w:p>
        </w:tc>
        <w:tc>
          <w:tcPr>
            <w:tcW w:type="dxa" w:w="1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c>
          <w:tcPr>
            <w:tcW w:type="dxa" w:w="15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71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L'appel se conclut par la suite à donner et ce que l'assuré doit faire</w:t>
            </w:r>
          </w:p>
        </w:tc>
        <w:tc>
          <w:tcPr>
            <w:tcW w:type="dxa" w:w="1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c>
          <w:tcPr>
            <w:tcW w:type="dxa" w:w="15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bl>
    <w:p>
      <w:r>
        <w:br w:type="page"/>
      </w:r>
    </w:p>
    <w:p>
      <w:pPr>
        <w:pStyle w:val="Heading1"/>
        <w:keepNext/>
        <w:pBdr>
          <w:bottom w:val="single" w:color="C8A96B" w:sz="12" w:space="4"/>
        </w:pBdr>
        <w:spacing w:after="160" w:before="120"/>
      </w:pPr>
      <w:r>
        <w:rPr>
          <w:rFonts w:ascii="Fraunces" w:cs="Fraunces" w:eastAsia="Fraunces" w:hAnsi="Fraunces"/>
          <w:b/>
          <w:bCs/>
          <w:color w:val="0D2B56"/>
          <w:sz w:val="32"/>
          <w:szCs w:val="32"/>
        </w:rPr>
        <w:t xml:space="preserve">Séquence 6 — La notification et la synthèse</w:t>
      </w:r>
    </w:p>
    <w:p>
      <w:pPr>
        <w:keepLines/>
        <w:spacing w:after="100" w:line="276"/>
      </w:pPr>
      <w:r>
        <w:rPr>
          <w:rFonts w:ascii="Nunito" w:cs="Nunito" w:eastAsia="Nunito" w:hAnsi="Nunito"/>
          <w:b/>
          <w:bCs/>
          <w:color w:val="1D2433"/>
          <w:sz w:val="20"/>
          <w:szCs w:val="20"/>
        </w:rPr>
        <w:t xml:space="preserve">Durée : 50 min</w:t>
      </w:r>
      <w:r>
        <w:rPr>
          <w:rFonts w:ascii="Nunito" w:cs="Nunito" w:eastAsia="Nunito" w:hAnsi="Nunito"/>
          <w:color w:val="1D2433"/>
          <w:sz w:val="20"/>
          <w:szCs w:val="20"/>
        </w:rPr>
        <w:t xml:space="preserve"> · Rédaction de la notification de M. BENALI (30 min), exercice interactif n°3 (20 min)</w:t>
      </w:r>
    </w:p>
    <w:p>
      <w:pPr>
        <w:keepLines/>
        <w:spacing w:after="100" w:line="276"/>
      </w:pPr>
      <w:r>
        <w:rPr>
          <w:rFonts w:ascii="Nunito" w:cs="Nunito" w:eastAsia="Nunito" w:hAnsi="Nunito"/>
          <w:color w:val="1D2433"/>
          <w:sz w:val="20"/>
          <w:szCs w:val="20"/>
        </w:rPr>
        <w:t xml:space="preserve">Rédigez la notification de pension de M. BENALI. Elle doit lui permettre de comprendre et de vérifier son montant.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F7EF" w:sz="4"/>
              <w:left w:val="single" w:color="C8A96B" w:sz="24"/>
              <w:bottom w:val="single" w:color="FBF7EF" w:sz="4"/>
              <w:right w:val="single" w:color="FBF7EF" w:sz="4"/>
            </w:tcBorders>
            <w:shd w:fill="FBF7EF" w:color="auto" w:val="clear"/>
            <w:tcMar>
              <w:top w:type="dxa" w:w="100"/>
              <w:left w:type="dxa" w:w="180"/>
              <w:bottom w:type="dxa" w:w="100"/>
              <w:right w:type="dxa" w:w="160"/>
            </w:tcMar>
          </w:tcPr>
          <w:p>
            <w:pPr>
              <w:keepNext/>
              <w:spacing w:after="60"/>
            </w:pPr>
            <w:r>
              <w:rPr>
                <w:rFonts w:ascii="Nunito" w:cs="Nunito" w:eastAsia="Nunito" w:hAnsi="Nunito"/>
                <w:b/>
                <w:bCs/>
                <w:color w:val="8A6A2C"/>
                <w:sz w:val="17"/>
                <w:szCs w:val="17"/>
              </w:rPr>
              <w:t xml:space="preserve">CONTENU OBLIGATOIRE</w:t>
            </w:r>
          </w:p>
          <w:p>
            <w:pPr>
              <w:keepNext/>
              <w:keepLines/>
              <w:spacing w:after="60" w:line="264"/>
            </w:pPr>
            <w:r>
              <w:rPr>
                <w:rFonts w:ascii="Nunito" w:cs="Nunito" w:eastAsia="Nunito" w:hAnsi="Nunito"/>
                <w:color w:val="1D2433"/>
                <w:sz w:val="19"/>
                <w:szCs w:val="19"/>
              </w:rPr>
              <w:t xml:space="preserve">Date d'effet · durée d'assurance retenue et durée requise · salaire annuel moyen et années retenues · taux · coefficient de proratisation · montant annuel et mensuel brut · voies de recours (commission de recours amiable, dans un délai de deux mois).</w:t>
            </w:r>
          </w:p>
        </w:tc>
      </w:tr>
    </w:tbl>
    <w:p>
      <w:pPr>
        <w:spacing w:after="80"/>
      </w:pPr>
    </w:p>
    <w:p>
      <w:pPr>
        <w:keepNext/>
        <w:spacing w:after="60" w:before="160"/>
      </w:pPr>
      <w:r>
        <w:rPr>
          <w:rFonts w:ascii="Nunito" w:cs="Nunito" w:eastAsia="Nunito" w:hAnsi="Nunito"/>
          <w:b/>
          <w:bCs/>
          <w:color w:val="0F4C81"/>
          <w:sz w:val="21"/>
          <w:szCs w:val="21"/>
        </w:rPr>
        <w:t xml:space="preserve">Votre notification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A5B8" w:sz="4"/>
              <w:left w:val="single" w:color="9AA5B8" w:sz="4"/>
              <w:bottom w:val="single" w:color="9AA5B8" w:sz="4"/>
              <w:right w:val="single" w:color="9AA5B8" w:sz="4"/>
            </w:tcBorders>
          </w:tcPr>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tc>
      </w:tr>
    </w:tbl>
    <w:sectPr>
      <w:headerReference w:type="default" r:id="rId6"/>
      <w:footerReference w:type="default" r:id="rId7"/>
      <w:pgSz w:w="11906" w:h="16838" w:orient="portrait"/>
      <w:pgMar w:top="1300" w:right="1134" w:bottom="1000" w:left="1134" w:header="45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unito" w:cs="Nunito" w:eastAsia="Nunito" w:hAnsi="Nunito"/>
        <w:color w:val="555555"/>
        <w:sz w:val="16"/>
        <w:szCs w:val="16"/>
      </w:rPr>
      <w:t xml:space="preserve">TMK Performances - N° Siret : 49841924100027 - Code NAF : 8559A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0D2B56" w:color="auto" w:val="clear"/>
      <w:tabs>
        <w:tab w:val="right" w:pos="9638"/>
      </w:tabs>
      <w:spacing w:after="0"/>
    </w:pPr>
    <w:r>
      <w:rPr>
        <w:rFonts w:ascii="Fraunces" w:cs="Fraunces" w:eastAsia="Fraunces" w:hAnsi="Fraunces"/>
        <w:b/>
        <w:bCs/>
        <w:color w:val="FFFFFF"/>
        <w:sz w:val="20"/>
        <w:szCs w:val="20"/>
      </w:rPr>
      <w:t xml:space="preserve"> TMK Performances</w:t>
    </w:r>
    <w:r>
      <w:rPr>
        <w:rFonts w:ascii="Nunito" w:cs="Nunito" w:eastAsia="Nunito" w:hAnsi="Nunito"/>
        <w:color w:val="FFFFFF"/>
        <w:sz w:val="16"/>
        <w:szCs w:val="16"/>
      </w:rPr>
      <w:t xml:space="preserve">	Pratique professionnelle du gestionnaire retraite · J2 · Book stagiaire </w:t>
    </w:r>
  </w:p>
  <w:p>
    <w:pPr>
      <w:pBdr>
        <w:top w:val="single" w:color="C8A96B" w:sz="12" w:space="0"/>
      </w:pBdr>
      <w:shd w:fill="B3261E" w:color="auto" w:val="clear"/>
      <w:spacing w:after="120"/>
      <w:jc w:val="center"/>
    </w:pPr>
    <w:r>
      <w:rPr>
        <w:rFonts w:ascii="Nunito" w:cs="Nunito" w:eastAsia="Nunito" w:hAnsi="Nunito"/>
        <w:b/>
        <w:bCs/>
        <w:color w:val="FFFFFF"/>
        <w:sz w:val="14"/>
        <w:szCs w:val="14"/>
      </w:rPr>
      <w:t xml:space="preserve">DOCUMENT FICTIF À USAGE PÉDAGOGIQUE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rPr>
        <w:color w:val="C8A96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w:cs="Nunito" w:eastAsia="Nunito" w:hAnsi="Nunito"/>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Pratique professionnelle du gestionnaire retraite — J2 — Book stagiaire</dc:title>
  <dc:creator>TMK Performances</dc:creator>
  <cp:lastModifiedBy>Un-named</cp:lastModifiedBy>
  <cp:revision>1</cp:revision>
  <dcterms:created xsi:type="dcterms:W3CDTF">2026-10-21T06:33:53.550Z</dcterms:created>
  <dcterms:modified xsi:type="dcterms:W3CDTF">2026-10-21T06:33:53.550Z</dcterms:modified>
</cp:coreProperties>
</file>

<file path=docProps/custom.xml><?xml version="1.0" encoding="utf-8"?>
<Properties xmlns="http://schemas.openxmlformats.org/officeDocument/2006/custom-properties" xmlns:vt="http://schemas.openxmlformats.org/officeDocument/2006/docPropsVTypes"/>
</file>