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F5D12" w14:textId="60E4CABA" w:rsidR="00CB3029" w:rsidRPr="00EC54AD" w:rsidRDefault="00EC54AD" w:rsidP="00EC54AD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EC54AD">
        <w:rPr>
          <w:rFonts w:ascii="Arial" w:hAnsi="Arial" w:cs="Arial"/>
          <w:b/>
          <w:bCs/>
          <w:sz w:val="28"/>
          <w:szCs w:val="28"/>
          <w:lang w:val="en-US"/>
        </w:rPr>
        <w:t>Proposal for Biostatistics Workplace Project</w:t>
      </w:r>
    </w:p>
    <w:p w14:paraId="44423D21" w14:textId="59FEED39" w:rsidR="00EC54AD" w:rsidRPr="00A636C1" w:rsidRDefault="00EC54AD">
      <w:pPr>
        <w:rPr>
          <w:rFonts w:ascii="Times New Roman" w:hAnsi="Times New Roman" w:cs="Times New Roman"/>
          <w:sz w:val="24"/>
          <w:szCs w:val="20"/>
          <w:lang w:val="en-US"/>
        </w:rPr>
      </w:pPr>
      <w:r w:rsidRPr="00A636C1">
        <w:rPr>
          <w:rFonts w:ascii="Times New Roman" w:hAnsi="Times New Roman" w:cs="Times New Roman"/>
          <w:b/>
          <w:bCs/>
          <w:sz w:val="24"/>
          <w:szCs w:val="20"/>
          <w:lang w:val="en-US"/>
        </w:rPr>
        <w:t>Title:</w:t>
      </w:r>
      <w:r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Competing death in fracture risk assessment</w:t>
      </w:r>
    </w:p>
    <w:p w14:paraId="6088127C" w14:textId="4F52E12E" w:rsidR="00011624" w:rsidRPr="00A636C1" w:rsidRDefault="00EC54AD" w:rsidP="00C24FE2">
      <w:pPr>
        <w:rPr>
          <w:rFonts w:ascii="Times New Roman" w:hAnsi="Times New Roman" w:cs="Times New Roman"/>
          <w:sz w:val="24"/>
          <w:szCs w:val="20"/>
          <w:lang w:val="en-US"/>
        </w:rPr>
      </w:pPr>
      <w:r w:rsidRPr="00A636C1">
        <w:rPr>
          <w:rFonts w:ascii="Times New Roman" w:hAnsi="Times New Roman" w:cs="Times New Roman"/>
          <w:b/>
          <w:bCs/>
          <w:sz w:val="24"/>
          <w:szCs w:val="20"/>
          <w:lang w:val="en-US"/>
        </w:rPr>
        <w:t>Context:</w:t>
      </w:r>
      <w:r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Death is considered a competing </w:t>
      </w:r>
      <w:r w:rsidR="00B571BE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event </w:t>
      </w:r>
      <w:r w:rsidRPr="00A636C1">
        <w:rPr>
          <w:rFonts w:ascii="Times New Roman" w:hAnsi="Times New Roman" w:cs="Times New Roman"/>
          <w:sz w:val="24"/>
          <w:szCs w:val="20"/>
          <w:lang w:val="en-US"/>
        </w:rPr>
        <w:t>to fragility fracture</w:t>
      </w:r>
      <w:r w:rsidR="00B571BE" w:rsidRPr="00A636C1">
        <w:rPr>
          <w:rFonts w:ascii="Times New Roman" w:hAnsi="Times New Roman" w:cs="Times New Roman"/>
          <w:sz w:val="24"/>
          <w:szCs w:val="20"/>
          <w:lang w:val="en-US"/>
        </w:rPr>
        <w:t>,</w:t>
      </w:r>
      <w:r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as many elderly people die before they sustain a fracture. </w:t>
      </w:r>
      <w:r w:rsidR="00B571BE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Traditional statistical models for predicting fracture risk take into </w:t>
      </w:r>
      <w:r w:rsidR="00444A71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account death </w:t>
      </w:r>
      <w:r w:rsidR="00B571BE" w:rsidRPr="00A636C1">
        <w:rPr>
          <w:rFonts w:ascii="Times New Roman" w:hAnsi="Times New Roman" w:cs="Times New Roman"/>
          <w:sz w:val="24"/>
          <w:szCs w:val="20"/>
          <w:lang w:val="en-US"/>
        </w:rPr>
        <w:t>as a competing risk, and they often yield underestimates of fracture risks</w:t>
      </w:r>
      <w:r w:rsidR="00444A71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. </w:t>
      </w:r>
      <w:r w:rsidR="00B571BE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As a result, </w:t>
      </w:r>
      <w:r w:rsidR="00011624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there is no agreement as the current fracture </w:t>
      </w:r>
      <w:r w:rsidR="00B571BE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prediction models </w:t>
      </w:r>
      <w:r w:rsidR="00011624" w:rsidRPr="00A636C1">
        <w:rPr>
          <w:rFonts w:ascii="Times New Roman" w:hAnsi="Times New Roman" w:cs="Times New Roman"/>
          <w:sz w:val="24"/>
          <w:szCs w:val="20"/>
          <w:lang w:val="en-US"/>
        </w:rPr>
        <w:t>account for competing risk very differently</w:t>
      </w:r>
      <w:r w:rsidR="00F97901" w:rsidRPr="00A636C1">
        <w:rPr>
          <w:rFonts w:ascii="Times New Roman" w:hAnsi="Times New Roman" w:cs="Times New Roman"/>
          <w:sz w:val="24"/>
          <w:szCs w:val="20"/>
          <w:vertAlign w:val="superscript"/>
          <w:lang w:val="en-US"/>
        </w:rPr>
        <w:t>1-3</w:t>
      </w:r>
      <w:r w:rsidR="00011624" w:rsidRPr="00A636C1">
        <w:rPr>
          <w:rFonts w:ascii="Times New Roman" w:hAnsi="Times New Roman" w:cs="Times New Roman"/>
          <w:sz w:val="24"/>
          <w:szCs w:val="20"/>
          <w:lang w:val="en-US"/>
        </w:rPr>
        <w:t>. While the Garvan</w:t>
      </w:r>
      <w:r w:rsidR="00F97901" w:rsidRPr="00A636C1">
        <w:rPr>
          <w:rFonts w:ascii="Times New Roman" w:hAnsi="Times New Roman" w:cs="Times New Roman"/>
          <w:sz w:val="24"/>
          <w:szCs w:val="20"/>
          <w:vertAlign w:val="superscript"/>
          <w:lang w:val="en-US"/>
        </w:rPr>
        <w:t>1</w:t>
      </w:r>
      <w:r w:rsidR="007B3034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and other fracture </w:t>
      </w:r>
      <w:r w:rsidR="00B571BE" w:rsidRPr="00A636C1">
        <w:rPr>
          <w:rFonts w:ascii="Times New Roman" w:hAnsi="Times New Roman" w:cs="Times New Roman"/>
          <w:sz w:val="24"/>
          <w:szCs w:val="20"/>
          <w:lang w:val="en-US"/>
        </w:rPr>
        <w:t>prediction models</w:t>
      </w:r>
      <w:r w:rsidR="00F97901" w:rsidRPr="00A636C1">
        <w:rPr>
          <w:rFonts w:ascii="Times New Roman" w:hAnsi="Times New Roman" w:cs="Times New Roman"/>
          <w:sz w:val="24"/>
          <w:szCs w:val="20"/>
          <w:vertAlign w:val="superscript"/>
          <w:lang w:val="en-US"/>
        </w:rPr>
        <w:t>2</w:t>
      </w:r>
      <w:r w:rsidR="00011624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considered death as a right-censored event, the FRAX </w:t>
      </w:r>
      <w:r w:rsidR="00B571BE" w:rsidRPr="00A636C1">
        <w:rPr>
          <w:rFonts w:ascii="Times New Roman" w:hAnsi="Times New Roman" w:cs="Times New Roman"/>
          <w:sz w:val="24"/>
          <w:szCs w:val="20"/>
          <w:lang w:val="en-US"/>
        </w:rPr>
        <w:t>model</w:t>
      </w:r>
      <w:r w:rsidR="00F97901" w:rsidRPr="00A636C1">
        <w:rPr>
          <w:rFonts w:ascii="Times New Roman" w:hAnsi="Times New Roman" w:cs="Times New Roman"/>
          <w:sz w:val="24"/>
          <w:szCs w:val="20"/>
          <w:vertAlign w:val="superscript"/>
          <w:lang w:val="en-US"/>
        </w:rPr>
        <w:t>3</w:t>
      </w:r>
      <w:r w:rsidR="00011624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="007B3034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is </w:t>
      </w:r>
      <w:r w:rsidR="00011624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known to account for competing risk </w:t>
      </w:r>
      <w:r w:rsidR="00A636C1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using the Fine and Gray </w:t>
      </w:r>
      <w:r w:rsidR="00652877">
        <w:rPr>
          <w:rFonts w:ascii="Times New Roman" w:hAnsi="Times New Roman" w:cs="Times New Roman"/>
          <w:sz w:val="24"/>
          <w:szCs w:val="20"/>
          <w:lang w:val="en-US"/>
        </w:rPr>
        <w:t>approach</w:t>
      </w:r>
      <w:r w:rsidR="00A636C1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="00011624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though </w:t>
      </w:r>
      <w:r w:rsidR="00B571BE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an </w:t>
      </w:r>
      <w:r w:rsidR="00011624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algorithm </w:t>
      </w:r>
      <w:r w:rsidR="00B571BE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that </w:t>
      </w:r>
      <w:r w:rsidR="00011624" w:rsidRPr="00A636C1">
        <w:rPr>
          <w:rFonts w:ascii="Times New Roman" w:hAnsi="Times New Roman" w:cs="Times New Roman"/>
          <w:sz w:val="24"/>
          <w:szCs w:val="20"/>
          <w:lang w:val="en-US"/>
        </w:rPr>
        <w:t>has never been published.</w:t>
      </w:r>
      <w:r w:rsidR="0074578D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Of note, the FRAX </w:t>
      </w:r>
      <w:r w:rsidR="00B571BE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model </w:t>
      </w:r>
      <w:r w:rsidR="0074578D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has been </w:t>
      </w:r>
      <w:r w:rsidR="00B571BE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shown </w:t>
      </w:r>
      <w:r w:rsidR="0074578D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to underestimate </w:t>
      </w:r>
      <w:r w:rsidR="00C24FE2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both osteoporotic and hip fractures, though the Garvan </w:t>
      </w:r>
      <w:r w:rsidR="00B571BE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model </w:t>
      </w:r>
      <w:r w:rsidR="00C24FE2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slightly </w:t>
      </w:r>
      <w:r w:rsidR="00B571BE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overestimates </w:t>
      </w:r>
      <w:r w:rsidR="00C24FE2" w:rsidRPr="00A636C1">
        <w:rPr>
          <w:rFonts w:ascii="Times New Roman" w:hAnsi="Times New Roman" w:cs="Times New Roman"/>
          <w:sz w:val="24"/>
          <w:szCs w:val="20"/>
          <w:lang w:val="en-US"/>
        </w:rPr>
        <w:t>hip fracture in high-risk group</w:t>
      </w:r>
      <w:r w:rsidR="00C24FE2" w:rsidRPr="00A636C1">
        <w:rPr>
          <w:rFonts w:ascii="Times New Roman" w:hAnsi="Times New Roman" w:cs="Times New Roman"/>
          <w:sz w:val="24"/>
          <w:szCs w:val="20"/>
          <w:vertAlign w:val="superscript"/>
          <w:lang w:val="en-US"/>
        </w:rPr>
        <w:t>4</w:t>
      </w:r>
      <w:r w:rsidR="00C24FE2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. The inappropriate </w:t>
      </w:r>
      <w:r w:rsidR="00B571BE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handling </w:t>
      </w:r>
      <w:r w:rsidR="00C24FE2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of competing </w:t>
      </w:r>
      <w:r w:rsidR="00B571BE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risk of </w:t>
      </w:r>
      <w:r w:rsidR="00C24FE2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death </w:t>
      </w:r>
      <w:r w:rsidR="00B571BE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could </w:t>
      </w:r>
      <w:r w:rsidR="00C24FE2" w:rsidRPr="00A636C1">
        <w:rPr>
          <w:rFonts w:ascii="Times New Roman" w:hAnsi="Times New Roman" w:cs="Times New Roman"/>
          <w:sz w:val="24"/>
          <w:szCs w:val="20"/>
          <w:lang w:val="en-US"/>
        </w:rPr>
        <w:t>contribute</w:t>
      </w:r>
      <w:r w:rsidR="00A636C1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="00C24FE2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to the suboptimal predictive performance of current fracture </w:t>
      </w:r>
      <w:r w:rsidR="00B571BE" w:rsidRPr="00A636C1">
        <w:rPr>
          <w:rFonts w:ascii="Times New Roman" w:hAnsi="Times New Roman" w:cs="Times New Roman"/>
          <w:sz w:val="24"/>
          <w:szCs w:val="20"/>
          <w:lang w:val="en-US"/>
        </w:rPr>
        <w:t>prediction models</w:t>
      </w:r>
      <w:r w:rsidR="00B571BE" w:rsidRPr="00A636C1">
        <w:rPr>
          <w:rFonts w:ascii="Times New Roman" w:hAnsi="Times New Roman" w:cs="Times New Roman"/>
          <w:sz w:val="24"/>
          <w:szCs w:val="20"/>
          <w:vertAlign w:val="superscript"/>
          <w:lang w:val="en-US"/>
        </w:rPr>
        <w:t>2</w:t>
      </w:r>
      <w:r w:rsidR="00A636C1" w:rsidRPr="00A636C1">
        <w:rPr>
          <w:rFonts w:ascii="Times New Roman" w:hAnsi="Times New Roman" w:cs="Times New Roman"/>
          <w:sz w:val="24"/>
          <w:szCs w:val="20"/>
          <w:vertAlign w:val="superscript"/>
          <w:lang w:val="en-US"/>
        </w:rPr>
        <w:t>,4</w:t>
      </w:r>
      <w:r w:rsidR="00011624" w:rsidRPr="00A636C1">
        <w:rPr>
          <w:rFonts w:ascii="Times New Roman" w:hAnsi="Times New Roman" w:cs="Times New Roman"/>
          <w:sz w:val="24"/>
          <w:szCs w:val="20"/>
          <w:lang w:val="en-US"/>
        </w:rPr>
        <w:t>.</w:t>
      </w:r>
    </w:p>
    <w:p w14:paraId="28CD6020" w14:textId="72E2BA69" w:rsidR="00011624" w:rsidRPr="00A636C1" w:rsidRDefault="00B571BE" w:rsidP="00444A71">
      <w:pPr>
        <w:rPr>
          <w:rFonts w:ascii="Times New Roman" w:hAnsi="Times New Roman" w:cs="Times New Roman"/>
          <w:sz w:val="24"/>
          <w:szCs w:val="20"/>
          <w:lang w:val="en-US"/>
        </w:rPr>
      </w:pPr>
      <w:r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We propose to solve the problem by a </w:t>
      </w:r>
      <w:r w:rsidR="00011624" w:rsidRPr="00A636C1">
        <w:rPr>
          <w:rFonts w:ascii="Times New Roman" w:hAnsi="Times New Roman" w:cs="Times New Roman"/>
          <w:sz w:val="24"/>
          <w:szCs w:val="20"/>
        </w:rPr>
        <w:t xml:space="preserve">multistate </w:t>
      </w:r>
      <w:r w:rsidRPr="00A636C1">
        <w:rPr>
          <w:rFonts w:ascii="Times New Roman" w:hAnsi="Times New Roman" w:cs="Times New Roman"/>
          <w:sz w:val="24"/>
          <w:szCs w:val="20"/>
        </w:rPr>
        <w:t xml:space="preserve">model. In this model, we consider 3 events: fracture, refracture, and death in a sequential manner. Thus, an individual can move from no fracture to fracture, no fracture to death, fracture to refracture but not death, fracture to death, etc. This multistate model </w:t>
      </w:r>
      <w:r w:rsidR="00011624" w:rsidRPr="00A636C1">
        <w:rPr>
          <w:rFonts w:ascii="Times New Roman" w:hAnsi="Times New Roman" w:cs="Times New Roman"/>
          <w:sz w:val="24"/>
          <w:szCs w:val="20"/>
        </w:rPr>
        <w:t>simultaneously model</w:t>
      </w:r>
      <w:r w:rsidRPr="00A636C1">
        <w:rPr>
          <w:rFonts w:ascii="Times New Roman" w:hAnsi="Times New Roman" w:cs="Times New Roman"/>
          <w:sz w:val="24"/>
          <w:szCs w:val="20"/>
        </w:rPr>
        <w:t>s</w:t>
      </w:r>
      <w:r w:rsidR="00011624" w:rsidRPr="00A636C1">
        <w:rPr>
          <w:rFonts w:ascii="Times New Roman" w:hAnsi="Times New Roman" w:cs="Times New Roman"/>
          <w:sz w:val="24"/>
          <w:szCs w:val="20"/>
        </w:rPr>
        <w:t xml:space="preserve"> </w:t>
      </w:r>
      <w:r w:rsidRPr="00A636C1">
        <w:rPr>
          <w:rFonts w:ascii="Times New Roman" w:hAnsi="Times New Roman" w:cs="Times New Roman"/>
          <w:sz w:val="24"/>
          <w:szCs w:val="20"/>
        </w:rPr>
        <w:t xml:space="preserve">the </w:t>
      </w:r>
      <w:r w:rsidR="00011624" w:rsidRPr="00A636C1">
        <w:rPr>
          <w:rFonts w:ascii="Times New Roman" w:hAnsi="Times New Roman" w:cs="Times New Roman"/>
          <w:sz w:val="24"/>
          <w:szCs w:val="20"/>
        </w:rPr>
        <w:t>series of correlated events during a stochastic process in a single framework, with robust accounting for their correlated nature</w:t>
      </w:r>
      <w:r w:rsidR="00C24FE2" w:rsidRPr="00A636C1">
        <w:rPr>
          <w:rFonts w:ascii="Times New Roman" w:hAnsi="Times New Roman" w:cs="Times New Roman"/>
          <w:sz w:val="24"/>
          <w:szCs w:val="20"/>
          <w:vertAlign w:val="superscript"/>
        </w:rPr>
        <w:t>5</w:t>
      </w:r>
      <w:r w:rsidR="007B3034" w:rsidRPr="00A636C1">
        <w:rPr>
          <w:rFonts w:ascii="Times New Roman" w:hAnsi="Times New Roman" w:cs="Times New Roman"/>
          <w:sz w:val="24"/>
          <w:szCs w:val="20"/>
        </w:rPr>
        <w:t>.</w:t>
      </w:r>
      <w:r w:rsidR="00011624" w:rsidRPr="00A636C1">
        <w:rPr>
          <w:rFonts w:ascii="Times New Roman" w:hAnsi="Times New Roman" w:cs="Times New Roman"/>
          <w:sz w:val="24"/>
          <w:szCs w:val="20"/>
        </w:rPr>
        <w:t xml:space="preserve"> Importantly, the multistate model </w:t>
      </w:r>
      <w:r w:rsidRPr="00A636C1">
        <w:rPr>
          <w:rFonts w:ascii="Times New Roman" w:hAnsi="Times New Roman" w:cs="Times New Roman"/>
          <w:sz w:val="24"/>
          <w:szCs w:val="20"/>
        </w:rPr>
        <w:t xml:space="preserve">is </w:t>
      </w:r>
      <w:r w:rsidR="00011624" w:rsidRPr="00A636C1">
        <w:rPr>
          <w:rFonts w:ascii="Times New Roman" w:hAnsi="Times New Roman" w:cs="Times New Roman"/>
          <w:sz w:val="24"/>
          <w:szCs w:val="20"/>
        </w:rPr>
        <w:t>also able to take into account the competing of death and thus allow for unbiased estimates of each correlated outcomes separately</w:t>
      </w:r>
      <w:r w:rsidR="00C24FE2" w:rsidRPr="00A636C1">
        <w:rPr>
          <w:rFonts w:ascii="Times New Roman" w:hAnsi="Times New Roman" w:cs="Times New Roman"/>
          <w:sz w:val="24"/>
          <w:szCs w:val="20"/>
          <w:vertAlign w:val="superscript"/>
        </w:rPr>
        <w:t>6</w:t>
      </w:r>
      <w:r w:rsidR="007B3034" w:rsidRPr="00A636C1">
        <w:rPr>
          <w:rFonts w:ascii="Times New Roman" w:hAnsi="Times New Roman" w:cs="Times New Roman"/>
          <w:sz w:val="24"/>
          <w:szCs w:val="20"/>
        </w:rPr>
        <w:t>.</w:t>
      </w:r>
      <w:r w:rsidR="00C24FE2" w:rsidRPr="00A636C1">
        <w:rPr>
          <w:rFonts w:ascii="Times New Roman" w:hAnsi="Times New Roman" w:cs="Times New Roman"/>
          <w:sz w:val="24"/>
          <w:szCs w:val="20"/>
        </w:rPr>
        <w:t xml:space="preserve"> </w:t>
      </w:r>
      <w:r w:rsidRPr="00A636C1">
        <w:rPr>
          <w:rFonts w:ascii="Times New Roman" w:hAnsi="Times New Roman" w:cs="Times New Roman"/>
          <w:sz w:val="24"/>
          <w:szCs w:val="20"/>
        </w:rPr>
        <w:t xml:space="preserve">To the best of our knowledge, no </w:t>
      </w:r>
      <w:r w:rsidR="00C24FE2" w:rsidRPr="00A636C1">
        <w:rPr>
          <w:rFonts w:ascii="Times New Roman" w:hAnsi="Times New Roman" w:cs="Times New Roman"/>
          <w:sz w:val="24"/>
          <w:szCs w:val="20"/>
        </w:rPr>
        <w:t xml:space="preserve">studies to date </w:t>
      </w:r>
      <w:r w:rsidRPr="00A636C1">
        <w:rPr>
          <w:rFonts w:ascii="Times New Roman" w:hAnsi="Times New Roman" w:cs="Times New Roman"/>
          <w:sz w:val="24"/>
          <w:szCs w:val="20"/>
        </w:rPr>
        <w:t xml:space="preserve">have </w:t>
      </w:r>
      <w:r w:rsidR="00C24FE2" w:rsidRPr="00A636C1">
        <w:rPr>
          <w:rFonts w:ascii="Times New Roman" w:hAnsi="Times New Roman" w:cs="Times New Roman"/>
          <w:sz w:val="24"/>
          <w:szCs w:val="20"/>
        </w:rPr>
        <w:t xml:space="preserve">compared </w:t>
      </w:r>
      <w:r w:rsidRPr="00A636C1">
        <w:rPr>
          <w:rFonts w:ascii="Times New Roman" w:hAnsi="Times New Roman" w:cs="Times New Roman"/>
          <w:sz w:val="24"/>
          <w:szCs w:val="20"/>
        </w:rPr>
        <w:t xml:space="preserve">the predictive values of </w:t>
      </w:r>
      <w:r w:rsidR="00C24FE2" w:rsidRPr="00A636C1">
        <w:rPr>
          <w:rFonts w:ascii="Times New Roman" w:hAnsi="Times New Roman" w:cs="Times New Roman"/>
          <w:sz w:val="24"/>
          <w:szCs w:val="20"/>
        </w:rPr>
        <w:t>different approaches to account for competing death in fracture assessment</w:t>
      </w:r>
      <w:r w:rsidR="005A638C" w:rsidRPr="00A636C1">
        <w:rPr>
          <w:rFonts w:ascii="Times New Roman" w:hAnsi="Times New Roman" w:cs="Times New Roman"/>
          <w:sz w:val="24"/>
          <w:szCs w:val="20"/>
        </w:rPr>
        <w:t>, though accuracy prediction is the ultimate goal of any fracture risk calculator</w:t>
      </w:r>
      <w:r w:rsidR="00C24FE2" w:rsidRPr="00A636C1">
        <w:rPr>
          <w:rFonts w:ascii="Times New Roman" w:hAnsi="Times New Roman" w:cs="Times New Roman"/>
          <w:sz w:val="24"/>
          <w:szCs w:val="20"/>
        </w:rPr>
        <w:t xml:space="preserve">.  </w:t>
      </w:r>
    </w:p>
    <w:p w14:paraId="75053714" w14:textId="14081242" w:rsidR="00011624" w:rsidRPr="00A636C1" w:rsidRDefault="00011624" w:rsidP="00444A71">
      <w:pPr>
        <w:rPr>
          <w:rFonts w:ascii="Times New Roman" w:hAnsi="Times New Roman" w:cs="Times New Roman"/>
          <w:sz w:val="24"/>
          <w:szCs w:val="20"/>
          <w:lang w:val="en-US"/>
        </w:rPr>
      </w:pPr>
      <w:r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We hypothesize that the multistate regression model would account for competing death better, leading to </w:t>
      </w:r>
      <w:r w:rsidR="00D84302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a more accurate </w:t>
      </w:r>
      <w:r w:rsidRPr="00A636C1">
        <w:rPr>
          <w:rFonts w:ascii="Times New Roman" w:hAnsi="Times New Roman" w:cs="Times New Roman"/>
          <w:sz w:val="24"/>
          <w:szCs w:val="20"/>
          <w:lang w:val="en-US"/>
        </w:rPr>
        <w:t>prediction of fracture</w:t>
      </w:r>
      <w:r w:rsidR="00D84302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. </w:t>
      </w:r>
    </w:p>
    <w:p w14:paraId="5D5CDB9B" w14:textId="0D4BBFF1" w:rsidR="00011624" w:rsidRPr="00A636C1" w:rsidRDefault="00011624" w:rsidP="00444A71">
      <w:pPr>
        <w:rPr>
          <w:rFonts w:ascii="Times New Roman" w:hAnsi="Times New Roman" w:cs="Times New Roman"/>
          <w:b/>
          <w:bCs/>
          <w:sz w:val="24"/>
          <w:szCs w:val="20"/>
          <w:lang w:val="en-US"/>
        </w:rPr>
      </w:pPr>
      <w:r w:rsidRPr="00A636C1">
        <w:rPr>
          <w:rFonts w:ascii="Times New Roman" w:hAnsi="Times New Roman" w:cs="Times New Roman"/>
          <w:b/>
          <w:bCs/>
          <w:sz w:val="24"/>
          <w:szCs w:val="20"/>
          <w:lang w:val="en-US"/>
        </w:rPr>
        <w:t>Specific aims:</w:t>
      </w:r>
    </w:p>
    <w:p w14:paraId="75173A94" w14:textId="69F5B577" w:rsidR="00011624" w:rsidRPr="00A636C1" w:rsidRDefault="00011624" w:rsidP="00011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0"/>
          <w:lang w:val="en-US"/>
        </w:rPr>
      </w:pPr>
      <w:r w:rsidRPr="00A636C1">
        <w:rPr>
          <w:rFonts w:ascii="Times New Roman" w:hAnsi="Times New Roman" w:cs="Times New Roman"/>
          <w:sz w:val="24"/>
          <w:szCs w:val="20"/>
          <w:lang w:val="en-US"/>
        </w:rPr>
        <w:t>To develop fracture prediction model</w:t>
      </w:r>
      <w:r w:rsidR="005A638C" w:rsidRPr="00A636C1">
        <w:rPr>
          <w:rFonts w:ascii="Times New Roman" w:hAnsi="Times New Roman" w:cs="Times New Roman"/>
          <w:sz w:val="24"/>
          <w:szCs w:val="20"/>
          <w:lang w:val="en-US"/>
        </w:rPr>
        <w:t>s</w:t>
      </w:r>
      <w:r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using different approaches to account for competing death</w:t>
      </w:r>
    </w:p>
    <w:p w14:paraId="2692BA27" w14:textId="123F90E4" w:rsidR="00011624" w:rsidRPr="00A636C1" w:rsidRDefault="00011624" w:rsidP="00011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0"/>
          <w:lang w:val="en-US"/>
        </w:rPr>
      </w:pPr>
      <w:r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To compare the </w:t>
      </w:r>
      <w:r w:rsidR="005A638C" w:rsidRPr="00A636C1">
        <w:rPr>
          <w:rFonts w:ascii="Times New Roman" w:hAnsi="Times New Roman" w:cs="Times New Roman"/>
          <w:sz w:val="24"/>
          <w:szCs w:val="20"/>
          <w:lang w:val="en-US"/>
        </w:rPr>
        <w:t>extent how accurate the models could predict fracture</w:t>
      </w:r>
    </w:p>
    <w:p w14:paraId="4C247007" w14:textId="2348011F" w:rsidR="00011624" w:rsidRPr="00A636C1" w:rsidRDefault="00011624" w:rsidP="00011624">
      <w:pPr>
        <w:rPr>
          <w:rFonts w:ascii="Times New Roman" w:hAnsi="Times New Roman" w:cs="Times New Roman"/>
          <w:sz w:val="24"/>
          <w:szCs w:val="20"/>
          <w:lang w:val="en-US"/>
        </w:rPr>
      </w:pPr>
      <w:r w:rsidRPr="00A636C1">
        <w:rPr>
          <w:rFonts w:ascii="Times New Roman" w:hAnsi="Times New Roman" w:cs="Times New Roman"/>
          <w:b/>
          <w:bCs/>
          <w:sz w:val="24"/>
          <w:szCs w:val="20"/>
          <w:lang w:val="en-US"/>
        </w:rPr>
        <w:t>Approach:</w:t>
      </w:r>
      <w:r w:rsidR="00282A18" w:rsidRPr="00A636C1">
        <w:rPr>
          <w:rFonts w:ascii="Times New Roman" w:hAnsi="Times New Roman" w:cs="Times New Roman"/>
          <w:b/>
          <w:bCs/>
          <w:sz w:val="24"/>
          <w:szCs w:val="20"/>
          <w:lang w:val="en-US"/>
        </w:rPr>
        <w:t xml:space="preserve"> </w:t>
      </w:r>
      <w:r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The </w:t>
      </w:r>
      <w:r w:rsidR="002E7DBF" w:rsidRPr="00A636C1">
        <w:rPr>
          <w:rFonts w:ascii="Times New Roman" w:hAnsi="Times New Roman" w:cs="Times New Roman"/>
          <w:sz w:val="24"/>
          <w:szCs w:val="20"/>
          <w:lang w:val="en-US"/>
        </w:rPr>
        <w:t>analysis will be conducted using data from the Dubbo Osteoporosis Epidemiology Study</w:t>
      </w:r>
      <w:r w:rsidR="00C24FE2" w:rsidRPr="00A636C1">
        <w:rPr>
          <w:rFonts w:ascii="Times New Roman" w:hAnsi="Times New Roman" w:cs="Times New Roman"/>
          <w:sz w:val="24"/>
          <w:szCs w:val="20"/>
          <w:vertAlign w:val="superscript"/>
          <w:lang w:val="en-US"/>
        </w:rPr>
        <w:t>7</w:t>
      </w:r>
      <w:r w:rsidR="002E7DBF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that recruited ~ 3,</w:t>
      </w:r>
      <w:r w:rsidR="005A638C" w:rsidRPr="00A636C1">
        <w:rPr>
          <w:rFonts w:ascii="Times New Roman" w:hAnsi="Times New Roman" w:cs="Times New Roman"/>
          <w:sz w:val="24"/>
          <w:szCs w:val="20"/>
          <w:lang w:val="en-US"/>
        </w:rPr>
        <w:t>5</w:t>
      </w:r>
      <w:r w:rsidR="002E7DBF" w:rsidRPr="00A636C1">
        <w:rPr>
          <w:rFonts w:ascii="Times New Roman" w:hAnsi="Times New Roman" w:cs="Times New Roman"/>
          <w:sz w:val="24"/>
          <w:szCs w:val="20"/>
          <w:lang w:val="en-US"/>
        </w:rPr>
        <w:t>00 elderly people aged 60+ years old as of 1989, living in Dubbo City, Australia. They were followed biannually up until 3</w:t>
      </w:r>
      <w:r w:rsidR="005A638C" w:rsidRPr="00A636C1">
        <w:rPr>
          <w:rFonts w:ascii="Times New Roman" w:hAnsi="Times New Roman" w:cs="Times New Roman"/>
          <w:sz w:val="24"/>
          <w:szCs w:val="20"/>
          <w:lang w:val="en-US"/>
        </w:rPr>
        <w:t>1 July 2018</w:t>
      </w:r>
      <w:r w:rsidR="002E7DBF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for fracture and mortality. </w:t>
      </w:r>
      <w:r w:rsidR="007B3034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The data are clean and ready for analysis. </w:t>
      </w:r>
      <w:r w:rsidR="002E7DBF" w:rsidRPr="00A636C1">
        <w:rPr>
          <w:rFonts w:ascii="Times New Roman" w:hAnsi="Times New Roman" w:cs="Times New Roman"/>
          <w:sz w:val="24"/>
          <w:szCs w:val="20"/>
          <w:lang w:val="en-US"/>
        </w:rPr>
        <w:t>The study cohort will be randomly split into 60% for development</w:t>
      </w:r>
      <w:r w:rsidR="005A638C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in aim 1</w:t>
      </w:r>
      <w:r w:rsidR="002E7DBF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and 40% for validation</w:t>
      </w:r>
      <w:r w:rsidR="005A638C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in aim 2</w:t>
      </w:r>
      <w:r w:rsidR="002E7DBF" w:rsidRPr="00A636C1">
        <w:rPr>
          <w:rFonts w:ascii="Times New Roman" w:hAnsi="Times New Roman" w:cs="Times New Roman"/>
          <w:sz w:val="24"/>
          <w:szCs w:val="20"/>
          <w:lang w:val="en-US"/>
        </w:rPr>
        <w:t>. The following steps will be carried out:</w:t>
      </w:r>
    </w:p>
    <w:p w14:paraId="5B2B1BB7" w14:textId="36AEE2F9" w:rsidR="005A638C" w:rsidRPr="00A636C1" w:rsidRDefault="002E7DBF" w:rsidP="002E7D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0"/>
          <w:lang w:val="en-US"/>
        </w:rPr>
      </w:pPr>
      <w:r w:rsidRPr="00A636C1">
        <w:rPr>
          <w:rFonts w:ascii="Times New Roman" w:hAnsi="Times New Roman" w:cs="Times New Roman"/>
          <w:i/>
          <w:iCs/>
          <w:sz w:val="24"/>
          <w:szCs w:val="20"/>
          <w:lang w:val="en-US"/>
        </w:rPr>
        <w:t>Development:</w:t>
      </w:r>
      <w:r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="005A638C" w:rsidRPr="00A636C1">
        <w:rPr>
          <w:rFonts w:ascii="Times New Roman" w:hAnsi="Times New Roman" w:cs="Times New Roman"/>
          <w:sz w:val="24"/>
          <w:szCs w:val="20"/>
          <w:lang w:val="en-US"/>
        </w:rPr>
        <w:t>we will use three different statistical approaches to account for competing death: (i) treating competing death as a righ</w:t>
      </w:r>
      <w:r w:rsidR="00A636C1" w:rsidRPr="00A636C1">
        <w:rPr>
          <w:rFonts w:ascii="Times New Roman" w:hAnsi="Times New Roman" w:cs="Times New Roman"/>
          <w:sz w:val="24"/>
          <w:szCs w:val="20"/>
          <w:lang w:val="en-US"/>
        </w:rPr>
        <w:t>t</w:t>
      </w:r>
      <w:r w:rsidR="005A638C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-censored event, </w:t>
      </w:r>
      <w:r w:rsidRPr="00A636C1">
        <w:rPr>
          <w:rFonts w:ascii="Times New Roman" w:hAnsi="Times New Roman" w:cs="Times New Roman"/>
          <w:sz w:val="24"/>
          <w:szCs w:val="20"/>
          <w:lang w:val="en-US"/>
        </w:rPr>
        <w:t>(ii) the Fine and Gray sub-distribution approach</w:t>
      </w:r>
      <w:r w:rsidR="00652877">
        <w:rPr>
          <w:rFonts w:ascii="Times New Roman" w:hAnsi="Times New Roman" w:cs="Times New Roman"/>
          <w:sz w:val="24"/>
          <w:szCs w:val="20"/>
          <w:lang w:val="en-US"/>
        </w:rPr>
        <w:t>,</w:t>
      </w:r>
      <w:r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and (iii) the multistate Cox-Markov approach.</w:t>
      </w:r>
      <w:r w:rsidR="005A638C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The same set of fracture predictors, namely gender, age, bone mineral density, history of falls and prior fracture</w:t>
      </w:r>
      <w:r w:rsidR="005A638C" w:rsidRPr="00A636C1">
        <w:rPr>
          <w:rFonts w:ascii="Times New Roman" w:hAnsi="Times New Roman" w:cs="Times New Roman"/>
          <w:sz w:val="24"/>
          <w:szCs w:val="20"/>
          <w:vertAlign w:val="superscript"/>
          <w:lang w:val="en-US"/>
        </w:rPr>
        <w:t>1</w:t>
      </w:r>
      <w:r w:rsidR="005A638C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will be used in these models to estimate the risk of any osteoporotic fracture and hip fracture.</w:t>
      </w:r>
      <w:r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</w:p>
    <w:p w14:paraId="28DA5A4A" w14:textId="2469B736" w:rsidR="002E7DBF" w:rsidRPr="00A636C1" w:rsidRDefault="00282A18" w:rsidP="002E7D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0"/>
          <w:lang w:val="en-US"/>
        </w:rPr>
      </w:pPr>
      <w:r w:rsidRPr="00A636C1">
        <w:rPr>
          <w:rFonts w:ascii="Times New Roman" w:hAnsi="Times New Roman" w:cs="Times New Roman"/>
          <w:i/>
          <w:iCs/>
          <w:sz w:val="24"/>
          <w:szCs w:val="20"/>
          <w:lang w:val="en-US"/>
        </w:rPr>
        <w:lastRenderedPageBreak/>
        <w:t>Validation:</w:t>
      </w:r>
      <w:r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="005A638C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Both discrimination and calibration ability will be examined to compare the predictive performance of these three models. We use the Harrell’s C index to assess the discrimination power, and compare the predicted fracture risk with the observed risk by centiles of the predicted fracture risk to assess the calibration power. </w:t>
      </w:r>
      <w:r w:rsidR="002E7DBF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  </w:t>
      </w:r>
    </w:p>
    <w:p w14:paraId="1B5C9159" w14:textId="487E592C" w:rsidR="007B3034" w:rsidRPr="00A636C1" w:rsidRDefault="00282A18" w:rsidP="00282A18">
      <w:pPr>
        <w:rPr>
          <w:rFonts w:ascii="Times New Roman" w:hAnsi="Times New Roman" w:cs="Times New Roman"/>
          <w:sz w:val="24"/>
          <w:szCs w:val="20"/>
          <w:lang w:val="en-US"/>
        </w:rPr>
      </w:pPr>
      <w:r w:rsidRPr="00A636C1">
        <w:rPr>
          <w:rFonts w:ascii="Times New Roman" w:hAnsi="Times New Roman" w:cs="Times New Roman"/>
          <w:b/>
          <w:bCs/>
          <w:sz w:val="24"/>
          <w:szCs w:val="20"/>
          <w:lang w:val="en-US"/>
        </w:rPr>
        <w:t>Innovation and novelty</w:t>
      </w:r>
      <w:r w:rsidRPr="00A636C1">
        <w:rPr>
          <w:rFonts w:ascii="Times New Roman" w:hAnsi="Times New Roman" w:cs="Times New Roman"/>
          <w:sz w:val="24"/>
          <w:szCs w:val="20"/>
          <w:lang w:val="en-US"/>
        </w:rPr>
        <w:t>: The appropriate approach to account for competing death in fracture risk assessment has never been determined, possibly resulting in the suboptimal fracture prediction</w:t>
      </w:r>
      <w:r w:rsidR="005A638C" w:rsidRPr="00A636C1">
        <w:rPr>
          <w:rFonts w:ascii="Times New Roman" w:hAnsi="Times New Roman" w:cs="Times New Roman"/>
          <w:sz w:val="24"/>
          <w:szCs w:val="20"/>
          <w:vertAlign w:val="superscript"/>
          <w:lang w:val="en-US"/>
        </w:rPr>
        <w:t>2</w:t>
      </w:r>
      <w:r w:rsidR="00A636C1" w:rsidRPr="00A636C1">
        <w:rPr>
          <w:rFonts w:ascii="Times New Roman" w:hAnsi="Times New Roman" w:cs="Times New Roman"/>
          <w:sz w:val="24"/>
          <w:szCs w:val="20"/>
          <w:vertAlign w:val="superscript"/>
          <w:lang w:val="en-US"/>
        </w:rPr>
        <w:t>,4</w:t>
      </w:r>
      <w:r w:rsidR="005A638C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 and current global under-management of osteoporotic fractures</w:t>
      </w:r>
      <w:r w:rsidR="00A636C1" w:rsidRPr="00A636C1">
        <w:rPr>
          <w:rFonts w:ascii="Times New Roman" w:hAnsi="Times New Roman" w:cs="Times New Roman"/>
          <w:sz w:val="24"/>
          <w:szCs w:val="20"/>
          <w:vertAlign w:val="superscript"/>
          <w:lang w:val="en-US"/>
        </w:rPr>
        <w:t>8</w:t>
      </w:r>
      <w:r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. The project will provide better </w:t>
      </w:r>
      <w:r w:rsidR="007B3034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methodological </w:t>
      </w:r>
      <w:r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background to develop </w:t>
      </w:r>
      <w:r w:rsidR="007B3034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a fracture risk assessment tool with much better predictive power. Given the </w:t>
      </w:r>
      <w:r w:rsidR="00BA0388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increasing </w:t>
      </w:r>
      <w:r w:rsidR="007B3034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importance of osteoporotic fractures that affect one in two women and one in three men </w:t>
      </w:r>
      <w:r w:rsidR="00C24FE2" w:rsidRPr="00A636C1">
        <w:rPr>
          <w:rFonts w:ascii="Times New Roman" w:hAnsi="Times New Roman" w:cs="Times New Roman"/>
          <w:sz w:val="24"/>
          <w:szCs w:val="20"/>
          <w:lang w:val="en-US"/>
        </w:rPr>
        <w:t>aged 60+</w:t>
      </w:r>
      <w:r w:rsidR="007B3034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, the project thus has important impact on public health policy as it would contributes to better identify patients at risk </w:t>
      </w:r>
      <w:r w:rsidR="00BA0388" w:rsidRPr="00A636C1">
        <w:rPr>
          <w:rFonts w:ascii="Times New Roman" w:hAnsi="Times New Roman" w:cs="Times New Roman"/>
          <w:sz w:val="24"/>
          <w:szCs w:val="20"/>
          <w:lang w:val="en-US"/>
        </w:rPr>
        <w:t xml:space="preserve">of fracture </w:t>
      </w:r>
      <w:r w:rsidR="007B3034" w:rsidRPr="00A636C1">
        <w:rPr>
          <w:rFonts w:ascii="Times New Roman" w:hAnsi="Times New Roman" w:cs="Times New Roman"/>
          <w:sz w:val="24"/>
          <w:szCs w:val="20"/>
          <w:lang w:val="en-US"/>
        </w:rPr>
        <w:t>who will most benefit from timely treatment.</w:t>
      </w:r>
    </w:p>
    <w:p w14:paraId="78A7347E" w14:textId="01211BB0" w:rsidR="005A638C" w:rsidRPr="00A636C1" w:rsidRDefault="00BA0388" w:rsidP="00282A18">
      <w:pPr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636C1">
        <w:rPr>
          <w:rFonts w:ascii="Times New Roman" w:hAnsi="Times New Roman" w:cs="Times New Roman"/>
          <w:b/>
          <w:sz w:val="24"/>
          <w:szCs w:val="20"/>
          <w:lang w:val="en-US"/>
        </w:rPr>
        <w:t>Supervisors:</w:t>
      </w:r>
      <w:r w:rsidRPr="00A636C1">
        <w:rPr>
          <w:rFonts w:ascii="Times New Roman" w:hAnsi="Times New Roman" w:cs="Times New Roman"/>
          <w:b/>
          <w:sz w:val="24"/>
          <w:szCs w:val="20"/>
          <w:lang w:val="en-US"/>
        </w:rPr>
        <w:tab/>
      </w:r>
    </w:p>
    <w:p w14:paraId="36DBC041" w14:textId="77777777" w:rsidR="00BA0388" w:rsidRPr="00A636C1" w:rsidRDefault="00BA0388" w:rsidP="00BA0388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A636C1">
        <w:rPr>
          <w:rFonts w:ascii="Times New Roman" w:hAnsi="Times New Roman" w:cs="Times New Roman"/>
          <w:sz w:val="24"/>
          <w:szCs w:val="20"/>
          <w:lang w:val="en-US"/>
        </w:rPr>
        <w:tab/>
      </w:r>
      <w:r w:rsidRPr="00A636C1">
        <w:rPr>
          <w:rFonts w:ascii="Times New Roman" w:hAnsi="Times New Roman" w:cs="Times New Roman"/>
          <w:sz w:val="24"/>
          <w:szCs w:val="20"/>
          <w:lang w:val="en-US"/>
        </w:rPr>
        <w:tab/>
        <w:t>Prof Tuan Van Nguyen</w:t>
      </w:r>
    </w:p>
    <w:p w14:paraId="577163FD" w14:textId="77777777" w:rsidR="00BA0388" w:rsidRPr="00A636C1" w:rsidRDefault="00BA0388" w:rsidP="00BA0388">
      <w:pPr>
        <w:spacing w:after="0" w:line="240" w:lineRule="auto"/>
        <w:ind w:left="1560"/>
        <w:rPr>
          <w:rFonts w:ascii="Times New Roman" w:hAnsi="Times New Roman" w:cs="Times New Roman"/>
          <w:szCs w:val="20"/>
          <w:lang w:val="en-US"/>
        </w:rPr>
      </w:pPr>
      <w:r w:rsidRPr="00A636C1">
        <w:rPr>
          <w:rFonts w:ascii="Times New Roman" w:hAnsi="Times New Roman" w:cs="Times New Roman"/>
          <w:szCs w:val="20"/>
          <w:lang w:val="en-US"/>
        </w:rPr>
        <w:t>Osteoporosis and Bone biology division, Garvan Institute of Medical Research</w:t>
      </w:r>
    </w:p>
    <w:p w14:paraId="5E7C970B" w14:textId="7F6680DA" w:rsidR="00BA0388" w:rsidRPr="00A636C1" w:rsidRDefault="00BA0388" w:rsidP="00BA0388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0"/>
          <w:lang w:val="en-US"/>
        </w:rPr>
      </w:pPr>
      <w:r w:rsidRPr="00A636C1">
        <w:rPr>
          <w:rFonts w:ascii="Times New Roman" w:hAnsi="Times New Roman" w:cs="Times New Roman"/>
          <w:szCs w:val="20"/>
          <w:lang w:val="en-US"/>
        </w:rPr>
        <w:t xml:space="preserve">Email: </w:t>
      </w:r>
      <w:hyperlink r:id="rId8" w:history="1">
        <w:r w:rsidRPr="00A636C1">
          <w:rPr>
            <w:rStyle w:val="Hyperlink"/>
            <w:rFonts w:ascii="Times New Roman" w:hAnsi="Times New Roman" w:cs="Times New Roman"/>
            <w:szCs w:val="20"/>
            <w:lang w:val="en-US"/>
          </w:rPr>
          <w:t>t.nguyen@garvan.org.au</w:t>
        </w:r>
      </w:hyperlink>
      <w:r w:rsidRPr="00A636C1">
        <w:rPr>
          <w:rFonts w:ascii="Times New Roman" w:hAnsi="Times New Roman" w:cs="Times New Roman"/>
          <w:szCs w:val="20"/>
          <w:lang w:val="en-US"/>
        </w:rPr>
        <w:t>; Phone: (61-2) 9295 8277</w:t>
      </w:r>
      <w:r w:rsidRPr="00A636C1">
        <w:rPr>
          <w:rFonts w:ascii="Times New Roman" w:hAnsi="Times New Roman" w:cs="Times New Roman"/>
          <w:szCs w:val="20"/>
          <w:lang w:val="en-US"/>
        </w:rPr>
        <w:tab/>
      </w:r>
    </w:p>
    <w:p w14:paraId="52422750" w14:textId="77777777" w:rsidR="00BA0388" w:rsidRPr="00A636C1" w:rsidRDefault="00BA0388" w:rsidP="00BA0388">
      <w:pPr>
        <w:rPr>
          <w:rFonts w:ascii="Times New Roman" w:hAnsi="Times New Roman" w:cs="Times New Roman"/>
          <w:b/>
          <w:bCs/>
          <w:sz w:val="24"/>
          <w:szCs w:val="20"/>
          <w:lang w:val="en-US"/>
        </w:rPr>
      </w:pPr>
      <w:r w:rsidRPr="00A636C1">
        <w:rPr>
          <w:rFonts w:ascii="Times New Roman" w:hAnsi="Times New Roman" w:cs="Times New Roman"/>
          <w:b/>
          <w:bCs/>
          <w:sz w:val="24"/>
          <w:szCs w:val="20"/>
          <w:lang w:val="en-US"/>
        </w:rPr>
        <w:t>Timeline:</w:t>
      </w:r>
    </w:p>
    <w:p w14:paraId="4EEB0606" w14:textId="77777777" w:rsidR="00BA0388" w:rsidRPr="00A636C1" w:rsidRDefault="00BA0388" w:rsidP="00BA03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0"/>
          <w:lang w:val="en-US"/>
        </w:rPr>
      </w:pPr>
      <w:r w:rsidRPr="00A636C1">
        <w:rPr>
          <w:rFonts w:ascii="Times New Roman" w:hAnsi="Times New Roman" w:cs="Times New Roman"/>
          <w:sz w:val="24"/>
          <w:szCs w:val="20"/>
          <w:lang w:val="en-US"/>
        </w:rPr>
        <w:t>September- October 2021:</w:t>
      </w:r>
      <w:r w:rsidRPr="00A636C1">
        <w:rPr>
          <w:rFonts w:ascii="Times New Roman" w:hAnsi="Times New Roman" w:cs="Times New Roman"/>
          <w:sz w:val="24"/>
          <w:szCs w:val="20"/>
          <w:lang w:val="en-US"/>
        </w:rPr>
        <w:tab/>
        <w:t>Data analysis and interpretation</w:t>
      </w:r>
    </w:p>
    <w:p w14:paraId="2952E57B" w14:textId="77777777" w:rsidR="00BA0388" w:rsidRPr="00A636C1" w:rsidRDefault="00BA0388" w:rsidP="00BA03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0"/>
          <w:lang w:val="en-US"/>
        </w:rPr>
      </w:pPr>
      <w:r w:rsidRPr="00A636C1">
        <w:rPr>
          <w:rFonts w:ascii="Times New Roman" w:hAnsi="Times New Roman" w:cs="Times New Roman"/>
          <w:sz w:val="24"/>
          <w:szCs w:val="20"/>
          <w:lang w:val="en-US"/>
        </w:rPr>
        <w:t>November 2021:</w:t>
      </w:r>
      <w:r w:rsidRPr="00A636C1">
        <w:rPr>
          <w:rFonts w:ascii="Times New Roman" w:hAnsi="Times New Roman" w:cs="Times New Roman"/>
          <w:sz w:val="24"/>
          <w:szCs w:val="20"/>
          <w:lang w:val="en-US"/>
        </w:rPr>
        <w:tab/>
        <w:t>The project portfolio preparation</w:t>
      </w:r>
    </w:p>
    <w:p w14:paraId="699DE2EE" w14:textId="2A2BBA4B" w:rsidR="007B3034" w:rsidRPr="00A636C1" w:rsidRDefault="007B3034" w:rsidP="00282A18">
      <w:pPr>
        <w:rPr>
          <w:rFonts w:ascii="Times New Roman" w:hAnsi="Times New Roman" w:cs="Times New Roman"/>
          <w:b/>
          <w:bCs/>
          <w:sz w:val="24"/>
          <w:szCs w:val="20"/>
          <w:lang w:val="en-US"/>
        </w:rPr>
      </w:pPr>
      <w:r w:rsidRPr="00A636C1">
        <w:rPr>
          <w:rFonts w:ascii="Times New Roman" w:hAnsi="Times New Roman" w:cs="Times New Roman"/>
          <w:b/>
          <w:bCs/>
          <w:sz w:val="24"/>
          <w:szCs w:val="20"/>
          <w:lang w:val="en-US"/>
        </w:rPr>
        <w:t>References:</w:t>
      </w:r>
    </w:p>
    <w:p w14:paraId="12E58ADD" w14:textId="643C90B4" w:rsidR="007B3034" w:rsidRPr="00A636C1" w:rsidRDefault="007B3034" w:rsidP="007B3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0"/>
          <w:lang w:val="en-US"/>
        </w:rPr>
      </w:pPr>
      <w:r w:rsidRPr="00A636C1">
        <w:rPr>
          <w:rFonts w:ascii="Times New Roman" w:hAnsi="Times New Roman" w:cs="Times New Roman"/>
          <w:szCs w:val="20"/>
        </w:rPr>
        <w:t>Nguyen ND, Frost SA, Center JR et al</w:t>
      </w:r>
      <w:r w:rsidR="00F97901" w:rsidRPr="00A636C1">
        <w:rPr>
          <w:rFonts w:ascii="Times New Roman" w:hAnsi="Times New Roman" w:cs="Times New Roman"/>
          <w:szCs w:val="20"/>
        </w:rPr>
        <w:t xml:space="preserve">. </w:t>
      </w:r>
      <w:r w:rsidRPr="00A636C1">
        <w:rPr>
          <w:rFonts w:ascii="Times New Roman" w:hAnsi="Times New Roman" w:cs="Times New Roman"/>
          <w:szCs w:val="20"/>
        </w:rPr>
        <w:t xml:space="preserve">Development of prognostic nomograms for individualizing 5-year and 10-year fracture risks. </w:t>
      </w:r>
      <w:r w:rsidRPr="00A636C1">
        <w:rPr>
          <w:rFonts w:ascii="Times New Roman" w:hAnsi="Times New Roman" w:cs="Times New Roman"/>
          <w:i/>
          <w:iCs/>
          <w:szCs w:val="20"/>
        </w:rPr>
        <w:t>Osteoporos Int</w:t>
      </w:r>
      <w:r w:rsidR="00F97901" w:rsidRPr="00A636C1">
        <w:rPr>
          <w:rFonts w:ascii="Times New Roman" w:hAnsi="Times New Roman" w:cs="Times New Roman"/>
          <w:szCs w:val="20"/>
        </w:rPr>
        <w:t xml:space="preserve"> 2008;</w:t>
      </w:r>
      <w:r w:rsidRPr="00A636C1">
        <w:rPr>
          <w:rFonts w:ascii="Times New Roman" w:hAnsi="Times New Roman" w:cs="Times New Roman"/>
          <w:szCs w:val="20"/>
        </w:rPr>
        <w:t>19:1431–1444</w:t>
      </w:r>
    </w:p>
    <w:p w14:paraId="6ABDC9FE" w14:textId="1F5403B8" w:rsidR="00F97901" w:rsidRPr="00A636C1" w:rsidRDefault="00F97901" w:rsidP="00F97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0"/>
          <w:lang w:val="en-US"/>
        </w:rPr>
      </w:pPr>
      <w:r w:rsidRPr="00A636C1">
        <w:rPr>
          <w:rFonts w:ascii="Times New Roman" w:hAnsi="Times New Roman" w:cs="Times New Roman"/>
          <w:szCs w:val="20"/>
          <w:lang w:val="en-US"/>
        </w:rPr>
        <w:t xml:space="preserve">Beaudoin C, Moore L, Gagné M, et al. Performance of predictive tools to identify individuals at risk of non-traumatic fracture: a systematic review, meta-analysis, and meta-regression. </w:t>
      </w:r>
      <w:r w:rsidRPr="00A636C1">
        <w:rPr>
          <w:rFonts w:ascii="Times New Roman" w:hAnsi="Times New Roman" w:cs="Times New Roman"/>
          <w:i/>
          <w:iCs/>
          <w:szCs w:val="20"/>
          <w:lang w:val="en-US"/>
        </w:rPr>
        <w:t>Osteoporos Int</w:t>
      </w:r>
      <w:r w:rsidRPr="00A636C1">
        <w:rPr>
          <w:rFonts w:ascii="Times New Roman" w:hAnsi="Times New Roman" w:cs="Times New Roman"/>
          <w:szCs w:val="20"/>
          <w:lang w:val="en-US"/>
        </w:rPr>
        <w:t xml:space="preserve"> 2019 Apr;30(4):721-740. </w:t>
      </w:r>
    </w:p>
    <w:p w14:paraId="1BEFF935" w14:textId="62E1C8D2" w:rsidR="00984D3C" w:rsidRPr="00A636C1" w:rsidRDefault="00F97901" w:rsidP="00984D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0"/>
          <w:lang w:val="en-US"/>
        </w:rPr>
      </w:pPr>
      <w:r w:rsidRPr="00A636C1">
        <w:rPr>
          <w:rFonts w:ascii="Times New Roman" w:hAnsi="Times New Roman" w:cs="Times New Roman"/>
          <w:szCs w:val="20"/>
        </w:rPr>
        <w:t xml:space="preserve">Kanis JA, Oden A, </w:t>
      </w:r>
      <w:r w:rsidR="00984D3C" w:rsidRPr="00A636C1">
        <w:rPr>
          <w:rFonts w:ascii="Times New Roman" w:hAnsi="Times New Roman" w:cs="Times New Roman"/>
          <w:szCs w:val="20"/>
          <w:lang w:val="en-US"/>
        </w:rPr>
        <w:t xml:space="preserve">Johnell O, </w:t>
      </w:r>
      <w:r w:rsidRPr="00A636C1">
        <w:rPr>
          <w:rFonts w:ascii="Times New Roman" w:hAnsi="Times New Roman" w:cs="Times New Roman"/>
          <w:szCs w:val="20"/>
        </w:rPr>
        <w:t xml:space="preserve">et al. </w:t>
      </w:r>
      <w:r w:rsidR="00984D3C" w:rsidRPr="00A636C1">
        <w:rPr>
          <w:rFonts w:ascii="Times New Roman" w:hAnsi="Times New Roman" w:cs="Times New Roman"/>
          <w:szCs w:val="20"/>
          <w:lang w:val="en-US"/>
        </w:rPr>
        <w:t xml:space="preserve">The use of clinical risk factors enhances the performance of BMD in the prediction of hip and osteoporotic fractures in men and women. </w:t>
      </w:r>
      <w:r w:rsidR="00984D3C" w:rsidRPr="00A636C1">
        <w:rPr>
          <w:rFonts w:ascii="Times New Roman" w:hAnsi="Times New Roman" w:cs="Times New Roman"/>
          <w:i/>
          <w:iCs/>
          <w:szCs w:val="20"/>
          <w:lang w:val="en-US"/>
        </w:rPr>
        <w:t>Osteoporos Int</w:t>
      </w:r>
      <w:r w:rsidR="00984D3C" w:rsidRPr="00A636C1">
        <w:rPr>
          <w:rFonts w:ascii="Times New Roman" w:hAnsi="Times New Roman" w:cs="Times New Roman"/>
          <w:szCs w:val="20"/>
          <w:lang w:val="en-US"/>
        </w:rPr>
        <w:t xml:space="preserve"> 2007;18:1033-1046.</w:t>
      </w:r>
    </w:p>
    <w:p w14:paraId="7106119D" w14:textId="1A335877" w:rsidR="00C24FE2" w:rsidRPr="00A636C1" w:rsidRDefault="00C24FE2" w:rsidP="00C24F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0"/>
          <w:lang w:val="en-US"/>
        </w:rPr>
      </w:pPr>
      <w:r w:rsidRPr="00A636C1">
        <w:rPr>
          <w:rFonts w:ascii="Times New Roman" w:hAnsi="Times New Roman" w:cs="Times New Roman"/>
          <w:szCs w:val="20"/>
          <w:lang w:val="en-US"/>
        </w:rPr>
        <w:t xml:space="preserve">Bolland MJ, Siu AT, Mason BH, et al. Evaluation of the FRAX and Garvan fracture risk calculators in older women. </w:t>
      </w:r>
      <w:r w:rsidRPr="00A636C1">
        <w:rPr>
          <w:rFonts w:ascii="Times New Roman" w:hAnsi="Times New Roman" w:cs="Times New Roman"/>
          <w:i/>
          <w:iCs/>
          <w:szCs w:val="20"/>
          <w:lang w:val="en-US"/>
        </w:rPr>
        <w:t>J Bone Miner Res</w:t>
      </w:r>
      <w:r w:rsidRPr="00A636C1">
        <w:rPr>
          <w:rFonts w:ascii="Times New Roman" w:hAnsi="Times New Roman" w:cs="Times New Roman"/>
          <w:szCs w:val="20"/>
          <w:lang w:val="en-US"/>
        </w:rPr>
        <w:t xml:space="preserve"> 2011;26:420–427</w:t>
      </w:r>
    </w:p>
    <w:p w14:paraId="220A1A07" w14:textId="1AA2C256" w:rsidR="007B3034" w:rsidRPr="00A636C1" w:rsidRDefault="007B3034" w:rsidP="007B3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0"/>
          <w:lang w:val="en-US"/>
        </w:rPr>
      </w:pPr>
      <w:r w:rsidRPr="00A636C1">
        <w:rPr>
          <w:rFonts w:ascii="Times New Roman" w:hAnsi="Times New Roman" w:cs="Times New Roman"/>
          <w:szCs w:val="20"/>
        </w:rPr>
        <w:t xml:space="preserve">Andersen PK, Keiding N. Multistate models for event history analysis. </w:t>
      </w:r>
      <w:r w:rsidRPr="00A636C1">
        <w:rPr>
          <w:rFonts w:ascii="Times New Roman" w:hAnsi="Times New Roman" w:cs="Times New Roman"/>
          <w:i/>
          <w:iCs/>
          <w:szCs w:val="20"/>
        </w:rPr>
        <w:t>Stat Methods Med Res</w:t>
      </w:r>
      <w:r w:rsidRPr="00A636C1">
        <w:rPr>
          <w:rFonts w:ascii="Times New Roman" w:hAnsi="Times New Roman" w:cs="Times New Roman"/>
          <w:szCs w:val="20"/>
        </w:rPr>
        <w:t xml:space="preserve"> 2002;11:91–115. </w:t>
      </w:r>
    </w:p>
    <w:p w14:paraId="1CCD8FC8" w14:textId="77777777" w:rsidR="00F97901" w:rsidRPr="00A636C1" w:rsidRDefault="007B3034" w:rsidP="007B3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0"/>
          <w:lang w:val="en-US"/>
        </w:rPr>
      </w:pPr>
      <w:r w:rsidRPr="00A636C1">
        <w:rPr>
          <w:rFonts w:ascii="Times New Roman" w:hAnsi="Times New Roman" w:cs="Times New Roman"/>
          <w:szCs w:val="20"/>
        </w:rPr>
        <w:t xml:space="preserve">Putter H, Fiocco M, Geskus RB. Tutorial in biostatistics: competing risks and multistate models. </w:t>
      </w:r>
      <w:r w:rsidRPr="00A636C1">
        <w:rPr>
          <w:rFonts w:ascii="Times New Roman" w:hAnsi="Times New Roman" w:cs="Times New Roman"/>
          <w:i/>
          <w:iCs/>
          <w:szCs w:val="20"/>
        </w:rPr>
        <w:t>Stat Med</w:t>
      </w:r>
      <w:r w:rsidRPr="00A636C1">
        <w:rPr>
          <w:rFonts w:ascii="Times New Roman" w:hAnsi="Times New Roman" w:cs="Times New Roman"/>
          <w:szCs w:val="20"/>
        </w:rPr>
        <w:t xml:space="preserve"> 2007;26(11):2389–430. </w:t>
      </w:r>
    </w:p>
    <w:p w14:paraId="6A96930E" w14:textId="76CC7EE3" w:rsidR="007B3034" w:rsidRPr="00A636C1" w:rsidRDefault="007B3034" w:rsidP="007B3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0"/>
          <w:lang w:val="en-US"/>
        </w:rPr>
      </w:pPr>
      <w:r w:rsidRPr="00A636C1">
        <w:rPr>
          <w:rFonts w:ascii="Times New Roman" w:hAnsi="Times New Roman" w:cs="Times New Roman"/>
          <w:szCs w:val="20"/>
        </w:rPr>
        <w:t xml:space="preserve">Jones G, Nguyen T, Sambrook PN, </w:t>
      </w:r>
      <w:r w:rsidR="00F97901" w:rsidRPr="00A636C1">
        <w:rPr>
          <w:rFonts w:ascii="Times New Roman" w:hAnsi="Times New Roman" w:cs="Times New Roman"/>
          <w:szCs w:val="20"/>
        </w:rPr>
        <w:t>et al</w:t>
      </w:r>
      <w:r w:rsidRPr="00A636C1">
        <w:rPr>
          <w:rFonts w:ascii="Times New Roman" w:hAnsi="Times New Roman" w:cs="Times New Roman"/>
          <w:szCs w:val="20"/>
        </w:rPr>
        <w:t xml:space="preserve">. Symptomatic fracture incidence in elderly men and women: the Dubbo Osteoporosis Epidemiology Study (DOES). </w:t>
      </w:r>
      <w:r w:rsidRPr="00A636C1">
        <w:rPr>
          <w:rFonts w:ascii="Times New Roman" w:hAnsi="Times New Roman" w:cs="Times New Roman"/>
          <w:i/>
          <w:iCs/>
          <w:szCs w:val="20"/>
        </w:rPr>
        <w:t>Osteoporos Int</w:t>
      </w:r>
      <w:r w:rsidRPr="00A636C1">
        <w:rPr>
          <w:rFonts w:ascii="Times New Roman" w:hAnsi="Times New Roman" w:cs="Times New Roman"/>
          <w:szCs w:val="20"/>
        </w:rPr>
        <w:t xml:space="preserve"> 1994;4:277–82</w:t>
      </w:r>
      <w:r w:rsidR="00F97901" w:rsidRPr="00A636C1">
        <w:rPr>
          <w:rFonts w:ascii="Times New Roman" w:hAnsi="Times New Roman" w:cs="Times New Roman"/>
          <w:szCs w:val="20"/>
        </w:rPr>
        <w:t>.</w:t>
      </w:r>
    </w:p>
    <w:p w14:paraId="60E312A8" w14:textId="77777777" w:rsidR="00BA0388" w:rsidRPr="00A636C1" w:rsidRDefault="00BA0388" w:rsidP="00BA0388">
      <w:pPr>
        <w:pStyle w:val="ListParagraph"/>
        <w:numPr>
          <w:ilvl w:val="0"/>
          <w:numId w:val="3"/>
        </w:numPr>
        <w:rPr>
          <w:rFonts w:ascii="Arial" w:hAnsi="Arial" w:cs="Arial"/>
          <w:szCs w:val="20"/>
          <w:lang w:val="en-US"/>
        </w:rPr>
      </w:pPr>
      <w:r w:rsidRPr="00A636C1">
        <w:rPr>
          <w:rFonts w:ascii="Times New Roman" w:hAnsi="Times New Roman" w:cs="Times New Roman"/>
          <w:szCs w:val="20"/>
        </w:rPr>
        <w:t xml:space="preserve">Compston JE, McClung MR, Leslie WD. Osteoporosis. </w:t>
      </w:r>
      <w:r w:rsidRPr="00A636C1">
        <w:rPr>
          <w:rFonts w:ascii="Times New Roman" w:hAnsi="Times New Roman" w:cs="Times New Roman"/>
          <w:i/>
          <w:iCs/>
          <w:szCs w:val="20"/>
        </w:rPr>
        <w:t>Lancet</w:t>
      </w:r>
      <w:r w:rsidRPr="00A636C1">
        <w:rPr>
          <w:rFonts w:ascii="Times New Roman" w:hAnsi="Times New Roman" w:cs="Times New Roman"/>
          <w:szCs w:val="20"/>
        </w:rPr>
        <w:t xml:space="preserve"> 2019; 393(10169):364–76.</w:t>
      </w:r>
    </w:p>
    <w:p w14:paraId="150AF844" w14:textId="77777777" w:rsidR="00BA0388" w:rsidRPr="00A636C1" w:rsidRDefault="00BA0388" w:rsidP="00BA0388">
      <w:pPr>
        <w:ind w:left="360"/>
        <w:rPr>
          <w:rFonts w:ascii="Arial" w:hAnsi="Arial" w:cs="Arial"/>
          <w:szCs w:val="20"/>
          <w:lang w:val="en-US"/>
        </w:rPr>
      </w:pPr>
      <w:bookmarkStart w:id="0" w:name="_GoBack"/>
      <w:bookmarkEnd w:id="0"/>
    </w:p>
    <w:sectPr w:rsidR="00BA0388" w:rsidRPr="00A636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2606A3" w14:textId="77777777" w:rsidR="005B06B1" w:rsidRDefault="005B06B1" w:rsidP="00652877">
      <w:pPr>
        <w:spacing w:after="0" w:line="240" w:lineRule="auto"/>
      </w:pPr>
      <w:r>
        <w:separator/>
      </w:r>
    </w:p>
  </w:endnote>
  <w:endnote w:type="continuationSeparator" w:id="0">
    <w:p w14:paraId="68163D7F" w14:textId="77777777" w:rsidR="005B06B1" w:rsidRDefault="005B06B1" w:rsidP="0065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24D6B" w14:textId="77777777" w:rsidR="00652877" w:rsidRDefault="006528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6236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7E306" w14:textId="28656E8B" w:rsidR="00652877" w:rsidRDefault="006528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2ED5A4" w14:textId="77777777" w:rsidR="00652877" w:rsidRDefault="006528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C1C1E2" w14:textId="77777777" w:rsidR="00652877" w:rsidRDefault="006528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2188E" w14:textId="77777777" w:rsidR="005B06B1" w:rsidRDefault="005B06B1" w:rsidP="00652877">
      <w:pPr>
        <w:spacing w:after="0" w:line="240" w:lineRule="auto"/>
      </w:pPr>
      <w:r>
        <w:separator/>
      </w:r>
    </w:p>
  </w:footnote>
  <w:footnote w:type="continuationSeparator" w:id="0">
    <w:p w14:paraId="562C63E6" w14:textId="77777777" w:rsidR="005B06B1" w:rsidRDefault="005B06B1" w:rsidP="00652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B948B" w14:textId="77777777" w:rsidR="00652877" w:rsidRDefault="006528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49C62" w14:textId="77777777" w:rsidR="00652877" w:rsidRDefault="006528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26F5D" w14:textId="77777777" w:rsidR="00652877" w:rsidRDefault="006528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F54CD"/>
    <w:multiLevelType w:val="hybridMultilevel"/>
    <w:tmpl w:val="6D864C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2676"/>
    <w:multiLevelType w:val="hybridMultilevel"/>
    <w:tmpl w:val="9F56547E"/>
    <w:lvl w:ilvl="0" w:tplc="05D661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37B05"/>
    <w:multiLevelType w:val="hybridMultilevel"/>
    <w:tmpl w:val="98EC3E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66A95"/>
    <w:multiLevelType w:val="hybridMultilevel"/>
    <w:tmpl w:val="6D9C58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an Van Nguyen">
    <w15:presenceInfo w15:providerId="AD" w15:userId="S::tuanvan.nguyen@uts.edu.au::33995c64-ca7d-4c9a-9e42-89a294c446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AD"/>
    <w:rsid w:val="00011624"/>
    <w:rsid w:val="00282A18"/>
    <w:rsid w:val="002C3301"/>
    <w:rsid w:val="002E7DBF"/>
    <w:rsid w:val="003D3ED4"/>
    <w:rsid w:val="00406EE4"/>
    <w:rsid w:val="00444A71"/>
    <w:rsid w:val="0057698F"/>
    <w:rsid w:val="005A638C"/>
    <w:rsid w:val="005B06B1"/>
    <w:rsid w:val="00652877"/>
    <w:rsid w:val="0074578D"/>
    <w:rsid w:val="007A2CAC"/>
    <w:rsid w:val="007B3034"/>
    <w:rsid w:val="00984D3C"/>
    <w:rsid w:val="00A636C1"/>
    <w:rsid w:val="00B571BE"/>
    <w:rsid w:val="00BA0388"/>
    <w:rsid w:val="00C24FE2"/>
    <w:rsid w:val="00C95756"/>
    <w:rsid w:val="00D84302"/>
    <w:rsid w:val="00EC54AD"/>
    <w:rsid w:val="00F9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D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6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3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2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877"/>
  </w:style>
  <w:style w:type="paragraph" w:styleId="Footer">
    <w:name w:val="footer"/>
    <w:basedOn w:val="Normal"/>
    <w:link w:val="FooterChar"/>
    <w:uiPriority w:val="99"/>
    <w:unhideWhenUsed/>
    <w:rsid w:val="00652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8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6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3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2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877"/>
  </w:style>
  <w:style w:type="paragraph" w:styleId="Footer">
    <w:name w:val="footer"/>
    <w:basedOn w:val="Normal"/>
    <w:link w:val="FooterChar"/>
    <w:uiPriority w:val="99"/>
    <w:unhideWhenUsed/>
    <w:rsid w:val="00652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nguyen@garvan.org.au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Thach Tran</dc:creator>
  <cp:lastModifiedBy>Thach</cp:lastModifiedBy>
  <cp:revision>3</cp:revision>
  <dcterms:created xsi:type="dcterms:W3CDTF">2021-08-22T22:48:00Z</dcterms:created>
  <dcterms:modified xsi:type="dcterms:W3CDTF">2021-08-22T22:56:00Z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2021-08-19T08:57:59Z</vt:lpwstr>
  </property>
  <property fmtid="{D5CDD505-2E9C-101B-9397-08002B2CF9AE}" pid="4" name="MSIP_Label_51a6c3db-1667-4f49-995a-8b9973972958_Method">
    <vt:lpwstr>Privileged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f53a8fb5-bda3-40f2-abfc-844bc7d02440</vt:lpwstr>
  </property>
  <property fmtid="{D5CDD505-2E9C-101B-9397-08002B2CF9AE}" pid="8" name="MSIP_Label_51a6c3db-1667-4f49-995a-8b9973972958_ContentBits">
    <vt:lpwstr>0</vt:lpwstr>
  </property>
</Properties>
</file>