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43BFD" w14:textId="3BAF85FA" w:rsidR="00596B9D" w:rsidRPr="009667C0" w:rsidRDefault="00000000" w:rsidP="00F1050D">
      <w:pPr>
        <w:pStyle w:val="Title"/>
        <w:spacing w:line="276" w:lineRule="auto"/>
        <w:jc w:val="both"/>
        <w:rPr>
          <w:sz w:val="32"/>
          <w:szCs w:val="32"/>
        </w:rPr>
      </w:pPr>
      <w:r w:rsidRPr="009667C0">
        <w:rPr>
          <w:sz w:val="32"/>
          <w:szCs w:val="32"/>
        </w:rPr>
        <w:t>Think Career: A Mentorship Journey Transforming Immigrant</w:t>
      </w:r>
      <w:r w:rsidR="00F1050D">
        <w:rPr>
          <w:sz w:val="32"/>
          <w:szCs w:val="32"/>
        </w:rPr>
        <w:t xml:space="preserve">s’ </w:t>
      </w:r>
      <w:r w:rsidRPr="009667C0">
        <w:rPr>
          <w:sz w:val="32"/>
          <w:szCs w:val="32"/>
        </w:rPr>
        <w:t>Future in Finland</w:t>
      </w:r>
    </w:p>
    <w:p w14:paraId="758E5E81" w14:textId="5A935239" w:rsidR="00596B9D" w:rsidRDefault="00000000" w:rsidP="00F1050D">
      <w:pPr>
        <w:jc w:val="both"/>
      </w:pPr>
      <w:r>
        <w:t xml:space="preserve">Since its inception in early 2023, the Think Career Mentoring Program has become a vital bridge for skilled immigrants seeking meaningful employment and career growth in Finland. Spanning five mentoring seasons </w:t>
      </w:r>
      <w:r w:rsidR="00F1050D">
        <w:t>from 2023 to</w:t>
      </w:r>
      <w:r>
        <w:t xml:space="preserve"> spring 2025, the program has </w:t>
      </w:r>
      <w:r w:rsidR="00F1050D">
        <w:t>fostered a diverse community of mentees and mentors, driven by the belief that guidance, networks, and understanding can unlock new opportunities in Finland's complex labor market</w:t>
      </w:r>
      <w:r>
        <w:t>.</w:t>
      </w:r>
    </w:p>
    <w:p w14:paraId="1D554C03" w14:textId="2C816836" w:rsidR="009667C0" w:rsidRDefault="009667C0" w:rsidP="00F1050D">
      <w:pPr>
        <w:jc w:val="both"/>
      </w:pPr>
      <w:r>
        <w:rPr>
          <w:noProof/>
        </w:rPr>
        <w:drawing>
          <wp:inline distT="0" distB="0" distL="0" distR="0" wp14:anchorId="458BA997" wp14:editId="278889F5">
            <wp:extent cx="5486400" cy="3661410"/>
            <wp:effectExtent l="0" t="0" r="0" b="0"/>
            <wp:docPr id="1968374456" name="Picture 1" descr="A group of people posing for a phot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374456" name="Picture 1" descr="A group of people posing for a phot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6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A80D2" w14:textId="33063F6E" w:rsidR="009667C0" w:rsidRDefault="009667C0" w:rsidP="00F1050D">
      <w:pPr>
        <w:jc w:val="both"/>
      </w:pPr>
      <w:r w:rsidRPr="009667C0">
        <w:t>Photo by Samuel from @saintfilmz</w:t>
      </w:r>
    </w:p>
    <w:p w14:paraId="4BD695B7" w14:textId="77777777" w:rsidR="00596B9D" w:rsidRDefault="00000000" w:rsidP="00F1050D">
      <w:pPr>
        <w:pStyle w:val="Heading1"/>
        <w:jc w:val="both"/>
      </w:pPr>
      <w:r>
        <w:t>Who Are the Mentees and Mentors?</w:t>
      </w:r>
    </w:p>
    <w:p w14:paraId="023A799B" w14:textId="485844F9" w:rsidR="00596B9D" w:rsidRDefault="00000000" w:rsidP="00F1050D">
      <w:pPr>
        <w:jc w:val="both"/>
      </w:pPr>
      <w:r>
        <w:t xml:space="preserve">Across the program’s life cycle, 284 unique mentees representing 56 countries participated, with over 93% holding at least a bachelor's degree. The cities of Helsinki, Espoo, Tampere, Vantaa, and Vaasa </w:t>
      </w:r>
      <w:r w:rsidR="00F1050D">
        <w:t>had</w:t>
      </w:r>
      <w:r>
        <w:t xml:space="preserve"> the highest concentration of mentees. </w:t>
      </w:r>
      <w:r w:rsidR="00F1050D">
        <w:t>The repeat participation of 12 mentees reflected the high value of the program despite not meeting the</w:t>
      </w:r>
      <w:r>
        <w:t xml:space="preserve"> initial goals.</w:t>
      </w:r>
    </w:p>
    <w:p w14:paraId="43DF4205" w14:textId="66F48305" w:rsidR="00D74DCC" w:rsidRDefault="00D74DCC" w:rsidP="00F1050D">
      <w:pPr>
        <w:jc w:val="both"/>
      </w:pPr>
      <w:r>
        <w:rPr>
          <w:noProof/>
        </w:rPr>
        <w:lastRenderedPageBreak/>
        <w:drawing>
          <wp:inline distT="0" distB="0" distL="0" distR="0" wp14:anchorId="4D53426A" wp14:editId="6540EBD3">
            <wp:extent cx="5090160" cy="2743200"/>
            <wp:effectExtent l="0" t="0" r="0" b="0"/>
            <wp:docPr id="256860358" name="Picture 1" descr="A map of the worl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71904" name="Picture 1" descr="A map of the worl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2930" cy="275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E6E8" w14:textId="3721997C" w:rsidR="00596B9D" w:rsidRDefault="00000000" w:rsidP="00F1050D">
      <w:pPr>
        <w:jc w:val="both"/>
      </w:pPr>
      <w:r>
        <w:t xml:space="preserve">On the mentor side, 191 professionals from 71 countries volunteered their time, expertise, and empathy. Some mentors returned for multiple seasons, reinforcing the community spirit that defines Think Career. </w:t>
      </w:r>
      <w:r w:rsidR="00F1050D">
        <w:t xml:space="preserve">The mentor-to-mentee ratios showed an </w:t>
      </w:r>
      <w:r>
        <w:t>increasing strain over time, suggesting the need for future capacity building.</w:t>
      </w:r>
    </w:p>
    <w:p w14:paraId="62C2F904" w14:textId="163C05E9" w:rsidR="00D74DCC" w:rsidRDefault="00D74DCC" w:rsidP="00F1050D">
      <w:pPr>
        <w:jc w:val="both"/>
      </w:pPr>
      <w:r>
        <w:rPr>
          <w:noProof/>
        </w:rPr>
        <w:drawing>
          <wp:inline distT="0" distB="0" distL="0" distR="0" wp14:anchorId="17BB8A8C" wp14:editId="6E4F7713">
            <wp:extent cx="4983480" cy="3078245"/>
            <wp:effectExtent l="0" t="0" r="7620" b="8255"/>
            <wp:docPr id="918470415" name="Picture 1" descr="A map of the worl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70415" name="Picture 1" descr="A map of the worl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3600" cy="309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4BA4" w14:textId="6100C4B1" w:rsidR="000905A7" w:rsidRPr="000905A7" w:rsidRDefault="00000000" w:rsidP="00F1050D">
      <w:pPr>
        <w:pStyle w:val="Heading1"/>
        <w:jc w:val="both"/>
      </w:pPr>
      <w:r>
        <w:t>Career Fields and Experience Levels</w:t>
      </w:r>
    </w:p>
    <w:p w14:paraId="32E2FB4D" w14:textId="4FF08A99" w:rsidR="000905A7" w:rsidRDefault="000905A7" w:rsidP="00F1050D">
      <w:pPr>
        <w:jc w:val="both"/>
      </w:pPr>
      <w:r>
        <w:t>While over half of the mentees had less than five years of work experience in their field, more than half of the mentors had over a decade of expertise</w:t>
      </w:r>
      <w:r w:rsidR="00F1050D">
        <w:t>. This</w:t>
      </w:r>
      <w:r>
        <w:t xml:space="preserve"> gap revealed the program’s strength in pairing aspiring professionals with seasoned guides. </w:t>
      </w:r>
    </w:p>
    <w:p w14:paraId="5EBE818B" w14:textId="2D8564F3" w:rsidR="000905A7" w:rsidRDefault="00D112E4" w:rsidP="00F1050D">
      <w:pPr>
        <w:jc w:val="both"/>
      </w:pPr>
      <w:r w:rsidRPr="00D112E4">
        <w:rPr>
          <w:noProof/>
        </w:rPr>
        <w:lastRenderedPageBreak/>
        <w:drawing>
          <wp:inline distT="0" distB="0" distL="0" distR="0" wp14:anchorId="717E79EB" wp14:editId="0F0351C7">
            <wp:extent cx="5730240" cy="2651760"/>
            <wp:effectExtent l="0" t="0" r="3810" b="0"/>
            <wp:docPr id="978593476" name="Picture 1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93476" name="Picture 1" descr="A graph of different colored ba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650E" w14:textId="7650B6AE" w:rsidR="00596B9D" w:rsidRDefault="000905A7" w:rsidP="00F1050D">
      <w:pPr>
        <w:jc w:val="both"/>
      </w:pPr>
      <w:r>
        <w:t>Mentors and mentees were categorized into nine primary career fields. STEM, Business, and Social Sciences dominated, while healthcare</w:t>
      </w:r>
      <w:r w:rsidR="007306EF">
        <w:t>, medicine,</w:t>
      </w:r>
      <w:r>
        <w:t xml:space="preserve"> </w:t>
      </w:r>
      <w:r w:rsidR="007306EF">
        <w:t xml:space="preserve">law, and </w:t>
      </w:r>
      <w:r>
        <w:t>public service fields were underrepresented. Interestingly, mentees outnumbered mentors in most sectors, underscoring the demand for support.</w:t>
      </w:r>
    </w:p>
    <w:p w14:paraId="1F2EDC51" w14:textId="553D6B3B" w:rsidR="00D74DCC" w:rsidRDefault="00D74DCC" w:rsidP="00F1050D">
      <w:pPr>
        <w:jc w:val="both"/>
      </w:pPr>
      <w:r w:rsidRPr="00D74DCC">
        <w:rPr>
          <w:noProof/>
        </w:rPr>
        <w:drawing>
          <wp:inline distT="0" distB="0" distL="0" distR="0" wp14:anchorId="2B1EC09E" wp14:editId="0B384275">
            <wp:extent cx="5570220" cy="3954780"/>
            <wp:effectExtent l="0" t="0" r="0" b="7620"/>
            <wp:docPr id="627058647" name="Picture 1" descr="A graph of a graph of a group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058647" name="Picture 1" descr="A graph of a graph of a group of peopl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5CDA" w14:textId="77777777" w:rsidR="00596B9D" w:rsidRDefault="00000000" w:rsidP="00F1050D">
      <w:pPr>
        <w:pStyle w:val="Heading1"/>
        <w:jc w:val="both"/>
      </w:pPr>
      <w:r>
        <w:lastRenderedPageBreak/>
        <w:t>What Changed? – Impact Analysis</w:t>
      </w:r>
    </w:p>
    <w:p w14:paraId="07430951" w14:textId="284BFD1A" w:rsidR="00596B9D" w:rsidRDefault="00D74DCC" w:rsidP="00F1050D">
      <w:pPr>
        <w:jc w:val="both"/>
      </w:pPr>
      <w:r>
        <w:t xml:space="preserve">We measured feelings and transformation through a robust pre- and post-program survey approach. In 2023 and 2024, we </w:t>
      </w:r>
      <w:r w:rsidR="00F1050D">
        <w:t>observed a 30% increase in pitch readiness, a skill crucial</w:t>
      </w:r>
      <w:r>
        <w:t xml:space="preserve"> for job interviews and networking events.</w:t>
      </w:r>
    </w:p>
    <w:p w14:paraId="2B2866CF" w14:textId="5BC07225" w:rsidR="002B0899" w:rsidRDefault="002B0899" w:rsidP="00F1050D">
      <w:pPr>
        <w:jc w:val="both"/>
      </w:pPr>
      <w:r w:rsidRPr="002B0899">
        <w:rPr>
          <w:noProof/>
        </w:rPr>
        <w:drawing>
          <wp:inline distT="0" distB="0" distL="0" distR="0" wp14:anchorId="00E7CE4F" wp14:editId="63D70A4B">
            <wp:extent cx="5486400" cy="2973705"/>
            <wp:effectExtent l="0" t="0" r="0" b="0"/>
            <wp:docPr id="1295342901" name="Picture 1" descr="A group of graph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42901" name="Picture 1" descr="A group of graphs with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FE03" w14:textId="2380648D" w:rsidR="007B6A38" w:rsidRDefault="00000000" w:rsidP="00F1050D">
      <w:pPr>
        <w:jc w:val="both"/>
      </w:pPr>
      <w:r>
        <w:t xml:space="preserve">Job and internship acquisition also rose, especially in the earlier rounds. In 2023, 13.2% of mentees reported gaining such opportunities, while 5.6% achieved this in 2024. Professional contacts expanded by 12.9% in 2023, </w:t>
      </w:r>
      <w:r w:rsidR="00F1050D">
        <w:t xml:space="preserve">although they dipped in </w:t>
      </w:r>
      <w:r w:rsidR="002E1E7F">
        <w:t xml:space="preserve">2024, </w:t>
      </w:r>
      <w:r w:rsidR="00F1050D">
        <w:t xml:space="preserve">likely due to a misinterpretation of the </w:t>
      </w:r>
      <w:r>
        <w:t>survey wording.</w:t>
      </w:r>
    </w:p>
    <w:p w14:paraId="2D4950AC" w14:textId="6D7E75F5" w:rsidR="007B6A38" w:rsidRDefault="007B6A38" w:rsidP="00F1050D">
      <w:pPr>
        <w:jc w:val="both"/>
      </w:pPr>
      <w:r w:rsidRPr="007B6A38">
        <w:rPr>
          <w:noProof/>
        </w:rPr>
        <w:lastRenderedPageBreak/>
        <w:drawing>
          <wp:inline distT="0" distB="0" distL="0" distR="0" wp14:anchorId="27802D91" wp14:editId="52D1C76D">
            <wp:extent cx="5486400" cy="4572000"/>
            <wp:effectExtent l="0" t="0" r="0" b="0"/>
            <wp:docPr id="95012378" name="Picture 1" descr="A group of graph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2378" name="Picture 1" descr="A group of graphs with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7A7A" w14:textId="0C449B06" w:rsidR="00596B9D" w:rsidRDefault="00000000" w:rsidP="00F1050D">
      <w:pPr>
        <w:pStyle w:val="Heading1"/>
        <w:jc w:val="both"/>
      </w:pPr>
      <w:r>
        <w:t>Optimism and Recommendations</w:t>
      </w:r>
    </w:p>
    <w:p w14:paraId="7DE26405" w14:textId="7FF1CDD6" w:rsidR="00596B9D" w:rsidRDefault="00000000" w:rsidP="00F1050D">
      <w:pPr>
        <w:jc w:val="both"/>
        <w:rPr>
          <w:b/>
          <w:bCs/>
          <w:i/>
          <w:iCs/>
          <w:color w:val="4F81BD" w:themeColor="accent1"/>
        </w:rPr>
      </w:pPr>
      <w:r>
        <w:t xml:space="preserve">When asked whether they felt optimistic about their career path, </w:t>
      </w:r>
      <w:r w:rsidR="007306EF">
        <w:t>most</w:t>
      </w:r>
      <w:r>
        <w:t xml:space="preserve"> mentees across seasons responded positively—an intangible yet crucial measure of success. Equally promising, over 80% of mentees were at least 70% satisfied with the program and said they would recommend it to others. On a scale of 0 to 10, recommendation scores clustered between </w:t>
      </w:r>
      <w:r w:rsidR="007306EF">
        <w:t>8</w:t>
      </w:r>
      <w:r>
        <w:t xml:space="preserve"> and 10.</w:t>
      </w:r>
    </w:p>
    <w:p w14:paraId="16C4FD9D" w14:textId="29C4A025" w:rsidR="00874EDC" w:rsidRDefault="00874EDC" w:rsidP="00F1050D">
      <w:pPr>
        <w:jc w:val="both"/>
      </w:pPr>
      <w:r w:rsidRPr="00874EDC">
        <w:rPr>
          <w:noProof/>
        </w:rPr>
        <w:lastRenderedPageBreak/>
        <w:drawing>
          <wp:inline distT="0" distB="0" distL="0" distR="0" wp14:anchorId="77406AAE" wp14:editId="37F93D04">
            <wp:extent cx="5486400" cy="5479415"/>
            <wp:effectExtent l="0" t="0" r="0" b="6985"/>
            <wp:docPr id="1986914645" name="Picture 1" descr="A group of blue and orang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14645" name="Picture 1" descr="A group of blue and orange bar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7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142A" w14:textId="77777777" w:rsidR="00596B9D" w:rsidRDefault="00000000" w:rsidP="00F1050D">
      <w:pPr>
        <w:pStyle w:val="Heading1"/>
        <w:jc w:val="both"/>
      </w:pPr>
      <w:r>
        <w:t>Looking Forward</w:t>
      </w:r>
    </w:p>
    <w:p w14:paraId="1026954F" w14:textId="399B6999" w:rsidR="00596B9D" w:rsidRDefault="00000000" w:rsidP="00F1050D">
      <w:pPr>
        <w:jc w:val="both"/>
      </w:pPr>
      <w:r>
        <w:t xml:space="preserve">The Think Career team is already implementing changes based on these findings. Improvements in data collection, </w:t>
      </w:r>
      <w:r w:rsidR="007306EF">
        <w:t>more transparent</w:t>
      </w:r>
      <w:r>
        <w:t xml:space="preserve"> communication, and expanded mentor recruitment are on the horizon. </w:t>
      </w:r>
      <w:r w:rsidR="00F1050D">
        <w:t>Additionally, a new alumni network is being considered to support continued connections</w:t>
      </w:r>
      <w:r>
        <w:t xml:space="preserve"> beyond the program’s official timeline.</w:t>
      </w:r>
    </w:p>
    <w:p w14:paraId="333AA987" w14:textId="17FE6282" w:rsidR="00596B9D" w:rsidRDefault="00000000" w:rsidP="00F1050D">
      <w:pPr>
        <w:jc w:val="both"/>
      </w:pPr>
      <w:r>
        <w:t xml:space="preserve">We invite readers to explore more granular insights </w:t>
      </w:r>
      <w:r w:rsidR="002E1E7F">
        <w:t>through the analyst’s GitHub repository, where all data,</w:t>
      </w:r>
      <w:r>
        <w:t xml:space="preserve"> analysis code</w:t>
      </w:r>
      <w:r w:rsidR="002E1E7F">
        <w:t xml:space="preserve">, outputs, and insights </w:t>
      </w:r>
      <w:r>
        <w:t>are openly available.</w:t>
      </w:r>
    </w:p>
    <w:p w14:paraId="7CCB129C" w14:textId="77777777" w:rsidR="00596B9D" w:rsidRDefault="00000000" w:rsidP="00F1050D">
      <w:pPr>
        <w:pStyle w:val="IntenseQuote"/>
        <w:jc w:val="both"/>
      </w:pPr>
      <w:r>
        <w:t>[Insert GitHub Repository Link Here]</w:t>
      </w:r>
    </w:p>
    <w:p w14:paraId="1595D719" w14:textId="77777777" w:rsidR="00596B9D" w:rsidRDefault="00000000" w:rsidP="00F1050D">
      <w:pPr>
        <w:pStyle w:val="Heading1"/>
        <w:jc w:val="both"/>
      </w:pPr>
      <w:r>
        <w:lastRenderedPageBreak/>
        <w:t>Conclusion</w:t>
      </w:r>
    </w:p>
    <w:p w14:paraId="30698744" w14:textId="081A9563" w:rsidR="00596B9D" w:rsidRDefault="00000000" w:rsidP="00F1050D">
      <w:pPr>
        <w:jc w:val="both"/>
      </w:pPr>
      <w:r>
        <w:t xml:space="preserve">Think Career has </w:t>
      </w:r>
      <w:r w:rsidR="00D74DCC">
        <w:t>connected people</w:t>
      </w:r>
      <w:r w:rsidR="007306EF">
        <w:t>,</w:t>
      </w:r>
      <w:r w:rsidR="00D74DCC">
        <w:t xml:space="preserve"> </w:t>
      </w:r>
      <w:r>
        <w:t xml:space="preserve">shifted perspectives, opened doors, and sparked hope. As Finland </w:t>
      </w:r>
      <w:r w:rsidR="00D74DCC">
        <w:t>diversifies</w:t>
      </w:r>
      <w:r>
        <w:t xml:space="preserve">, programs like this will be crucial for integrating talent, fostering </w:t>
      </w:r>
      <w:r w:rsidR="00F1050D">
        <w:t xml:space="preserve">a sense of </w:t>
      </w:r>
      <w:r>
        <w:t>belonging, and empowering the next generation of changemakers.</w:t>
      </w:r>
    </w:p>
    <w:p w14:paraId="2F9FFBCB" w14:textId="77777777" w:rsidR="002E1E7F" w:rsidRDefault="002E1E7F" w:rsidP="00F1050D">
      <w:pPr>
        <w:jc w:val="both"/>
      </w:pPr>
    </w:p>
    <w:p w14:paraId="2C6BEB83" w14:textId="77777777" w:rsidR="002E1E7F" w:rsidRDefault="002E1E7F" w:rsidP="00F1050D">
      <w:pPr>
        <w:jc w:val="both"/>
      </w:pPr>
    </w:p>
    <w:p w14:paraId="2558F9D5" w14:textId="0EADDDD5" w:rsidR="002E1E7F" w:rsidRDefault="002E1E7F" w:rsidP="00F1050D">
      <w:pPr>
        <w:jc w:val="both"/>
      </w:pPr>
      <w:r>
        <w:t>Story and Data Analysis by Thacienne Uwimanayantumye.</w:t>
      </w:r>
    </w:p>
    <w:p w14:paraId="38B52832" w14:textId="5B042BBE" w:rsidR="002E1E7F" w:rsidRDefault="002E1E7F" w:rsidP="00F1050D">
      <w:pPr>
        <w:jc w:val="both"/>
      </w:pPr>
      <w:r>
        <w:t xml:space="preserve">Contact Thacienne: </w:t>
      </w:r>
      <w:hyperlink r:id="rId14" w:history="1">
        <w:r w:rsidRPr="00F570F4">
          <w:rPr>
            <w:rStyle w:val="Hyperlink"/>
          </w:rPr>
          <w:t>thacienne.uwimanayantumye@gmail.com</w:t>
        </w:r>
      </w:hyperlink>
    </w:p>
    <w:p w14:paraId="4A7BC43D" w14:textId="0FC10AA8" w:rsidR="002E1E7F" w:rsidRDefault="002E1E7F" w:rsidP="00F1050D">
      <w:pPr>
        <w:jc w:val="both"/>
      </w:pPr>
      <w:r>
        <w:t xml:space="preserve">Connect with Thacienne: </w:t>
      </w:r>
      <w:hyperlink r:id="rId15" w:history="1">
        <w:r w:rsidR="00BE5BFD" w:rsidRPr="00F570F4">
          <w:rPr>
            <w:rStyle w:val="Hyperlink"/>
          </w:rPr>
          <w:t>https://www.linkedin.com/in/thacienne-uwimanayantumye/</w:t>
        </w:r>
      </w:hyperlink>
    </w:p>
    <w:p w14:paraId="6B960F69" w14:textId="04C2BAB7" w:rsidR="00BE5BFD" w:rsidRDefault="00BE5BFD" w:rsidP="00F1050D">
      <w:pPr>
        <w:jc w:val="both"/>
      </w:pPr>
      <w:r>
        <w:t xml:space="preserve">View </w:t>
      </w:r>
      <w:proofErr w:type="spellStart"/>
      <w:r>
        <w:t>Thacienne’s</w:t>
      </w:r>
      <w:proofErr w:type="spellEnd"/>
      <w:r>
        <w:t xml:space="preserve"> Data Portfolio: </w:t>
      </w:r>
      <w:hyperlink r:id="rId16" w:history="1">
        <w:r w:rsidRPr="00F570F4">
          <w:rPr>
            <w:rStyle w:val="Hyperlink"/>
          </w:rPr>
          <w:t>https://thacienne-uwiman</w:t>
        </w:r>
        <w:r w:rsidRPr="00F570F4">
          <w:rPr>
            <w:rStyle w:val="Hyperlink"/>
          </w:rPr>
          <w:t>a</w:t>
        </w:r>
        <w:r w:rsidRPr="00F570F4">
          <w:rPr>
            <w:rStyle w:val="Hyperlink"/>
          </w:rPr>
          <w:t>yantumye-data-portfolio.vercel.app/</w:t>
        </w:r>
      </w:hyperlink>
    </w:p>
    <w:p w14:paraId="7673FB89" w14:textId="77777777" w:rsidR="00BE5BFD" w:rsidRDefault="00BE5BFD" w:rsidP="00F1050D">
      <w:pPr>
        <w:jc w:val="both"/>
      </w:pPr>
    </w:p>
    <w:sectPr w:rsidR="00BE5B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8825799">
    <w:abstractNumId w:val="8"/>
  </w:num>
  <w:num w:numId="2" w16cid:durableId="817301780">
    <w:abstractNumId w:val="6"/>
  </w:num>
  <w:num w:numId="3" w16cid:durableId="411859867">
    <w:abstractNumId w:val="5"/>
  </w:num>
  <w:num w:numId="4" w16cid:durableId="879778425">
    <w:abstractNumId w:val="4"/>
  </w:num>
  <w:num w:numId="5" w16cid:durableId="885600898">
    <w:abstractNumId w:val="7"/>
  </w:num>
  <w:num w:numId="6" w16cid:durableId="589041992">
    <w:abstractNumId w:val="3"/>
  </w:num>
  <w:num w:numId="7" w16cid:durableId="655960616">
    <w:abstractNumId w:val="2"/>
  </w:num>
  <w:num w:numId="8" w16cid:durableId="773283332">
    <w:abstractNumId w:val="1"/>
  </w:num>
  <w:num w:numId="9" w16cid:durableId="1651054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67C7"/>
    <w:rsid w:val="0006063C"/>
    <w:rsid w:val="000905A7"/>
    <w:rsid w:val="00114EBF"/>
    <w:rsid w:val="0015055F"/>
    <w:rsid w:val="0015074B"/>
    <w:rsid w:val="002324A4"/>
    <w:rsid w:val="0029639D"/>
    <w:rsid w:val="002B0899"/>
    <w:rsid w:val="002E1E7F"/>
    <w:rsid w:val="00326F90"/>
    <w:rsid w:val="00434EEE"/>
    <w:rsid w:val="00596B9D"/>
    <w:rsid w:val="007306EF"/>
    <w:rsid w:val="00750B9C"/>
    <w:rsid w:val="007B6A38"/>
    <w:rsid w:val="00874EDC"/>
    <w:rsid w:val="008B6E20"/>
    <w:rsid w:val="009667C0"/>
    <w:rsid w:val="00AA1D8D"/>
    <w:rsid w:val="00B47730"/>
    <w:rsid w:val="00BE28CD"/>
    <w:rsid w:val="00BE5BFD"/>
    <w:rsid w:val="00CB0664"/>
    <w:rsid w:val="00D112E4"/>
    <w:rsid w:val="00D74DCC"/>
    <w:rsid w:val="00DD6085"/>
    <w:rsid w:val="00F105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A7665D"/>
  <w14:defaultImageDpi w14:val="300"/>
  <w15:docId w15:val="{0DC572BB-8478-4042-9910-7D5E2070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E1E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E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5B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hacienne-uwimanayantumye-data-portfolio.vercel.app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thacienne-uwimanayantumye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thacienne.uwimanayantumy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549</Words>
  <Characters>3342</Characters>
  <Application>Microsoft Office Word</Application>
  <DocSecurity>0</DocSecurity>
  <Lines>66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Thacienne Uwimanayantumye</cp:lastModifiedBy>
  <cp:revision>3</cp:revision>
  <dcterms:created xsi:type="dcterms:W3CDTF">2025-05-06T20:40:00Z</dcterms:created>
  <dcterms:modified xsi:type="dcterms:W3CDTF">2025-05-13T09:48:00Z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9b45df65-135e-4c1d-860f-28a84cbc0621</vt:lpwstr>
  </property>
</Properties>
</file>