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6366F" w14:textId="77777777" w:rsidR="00E37A7E" w:rsidRDefault="4E841353" w:rsidP="4E841353">
      <w:pPr>
        <w:jc w:val="center"/>
        <w:rPr>
          <w:rFonts w:ascii="Arial" w:eastAsia="Arial" w:hAnsi="Arial" w:cs="Arial"/>
          <w:b/>
          <w:bCs/>
          <w:sz w:val="32"/>
          <w:szCs w:val="32"/>
        </w:rPr>
      </w:pPr>
      <w:r w:rsidRPr="4E841353">
        <w:rPr>
          <w:rFonts w:ascii="Arial" w:eastAsia="Arial" w:hAnsi="Arial" w:cs="Arial"/>
          <w:b/>
          <w:bCs/>
          <w:sz w:val="32"/>
          <w:szCs w:val="32"/>
        </w:rPr>
        <w:t>Exploratory Data Analysis (EDA) Summary Report</w:t>
      </w:r>
    </w:p>
    <w:p w14:paraId="672A6659" w14:textId="77777777" w:rsidR="00E37A7E" w:rsidRDefault="00000000" w:rsidP="4E841353">
      <w:pPr>
        <w:rPr>
          <w:rFonts w:ascii="Arial" w:eastAsia="Arial" w:hAnsi="Arial" w:cs="Arial"/>
        </w:rPr>
      </w:pPr>
      <w:r>
        <w:br/>
      </w:r>
    </w:p>
    <w:p w14:paraId="32A36C38"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1. Introduction</w:t>
      </w:r>
    </w:p>
    <w:p w14:paraId="6F5BEE04" w14:textId="77777777" w:rsidR="00E37A7E" w:rsidRDefault="4E841353" w:rsidP="4E841353">
      <w:pPr>
        <w:rPr>
          <w:rFonts w:ascii="Arial" w:eastAsia="Arial" w:hAnsi="Arial" w:cs="Arial"/>
        </w:rPr>
      </w:pPr>
      <w:r w:rsidRPr="4E841353">
        <w:rPr>
          <w:rFonts w:ascii="Arial" w:eastAsia="Arial" w:hAnsi="Arial" w:cs="Arial"/>
        </w:rPr>
        <w:t xml:space="preserve">This report provides an exploratory data analysis (EDA) of </w:t>
      </w:r>
      <w:proofErr w:type="spellStart"/>
      <w:r w:rsidRPr="4E841353">
        <w:rPr>
          <w:rFonts w:ascii="Arial" w:eastAsia="Arial" w:hAnsi="Arial" w:cs="Arial"/>
        </w:rPr>
        <w:t>Geldium’s</w:t>
      </w:r>
      <w:proofErr w:type="spellEnd"/>
      <w:r w:rsidRPr="4E841353">
        <w:rPr>
          <w:rFonts w:ascii="Arial" w:eastAsia="Arial" w:hAnsi="Arial" w:cs="Arial"/>
        </w:rPr>
        <w:t xml:space="preserve"> dataset to assess data quality, identify key insights, and highlight factors that influence credit delinquency risk. The goal of this analysis is to ensure data readiness for predictive modeling and risk assessment.</w:t>
      </w:r>
    </w:p>
    <w:p w14:paraId="5F1C37D1"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2. Dataset Overview</w:t>
      </w:r>
    </w:p>
    <w:p w14:paraId="2AB106F8" w14:textId="77777777" w:rsidR="00E37A7E" w:rsidRDefault="4E841353" w:rsidP="4E841353">
      <w:pPr>
        <w:rPr>
          <w:rFonts w:ascii="Arial" w:eastAsia="Arial" w:hAnsi="Arial" w:cs="Arial"/>
        </w:rPr>
      </w:pPr>
      <w:r w:rsidRPr="4E841353">
        <w:rPr>
          <w:rFonts w:ascii="Arial" w:eastAsia="Arial" w:hAnsi="Arial" w:cs="Arial"/>
        </w:rPr>
        <w:t xml:space="preserve">The dataset contains 500 records, representing </w:t>
      </w:r>
      <w:proofErr w:type="spellStart"/>
      <w:r w:rsidRPr="4E841353">
        <w:rPr>
          <w:rFonts w:ascii="Arial" w:eastAsia="Arial" w:hAnsi="Arial" w:cs="Arial"/>
        </w:rPr>
        <w:t>Geldium's</w:t>
      </w:r>
      <w:proofErr w:type="spellEnd"/>
      <w:r w:rsidRPr="4E841353">
        <w:rPr>
          <w:rFonts w:ascii="Arial" w:eastAsia="Arial" w:hAnsi="Arial" w:cs="Arial"/>
        </w:rPr>
        <w:t xml:space="preserve"> customers with key attributes relevant to delinquency risk. It includes numerical and categorical features such as income, credit utilization, missed payments, and debt-to-income ratio. </w:t>
      </w:r>
    </w:p>
    <w:p w14:paraId="503AF596" w14:textId="77777777" w:rsidR="00E37A7E" w:rsidRDefault="4E841353" w:rsidP="4E841353">
      <w:pPr>
        <w:rPr>
          <w:rFonts w:ascii="Arial" w:eastAsia="Arial" w:hAnsi="Arial" w:cs="Arial"/>
        </w:rPr>
      </w:pPr>
      <w:r w:rsidRPr="4E841353">
        <w:rPr>
          <w:rFonts w:ascii="Arial" w:eastAsia="Arial" w:hAnsi="Arial" w:cs="Arial"/>
        </w:rPr>
        <w:t>Key dataset attributes:</w:t>
      </w:r>
    </w:p>
    <w:p w14:paraId="1AF3F24F" w14:textId="0F7A8F22" w:rsidR="00E37A7E" w:rsidRDefault="4E841353" w:rsidP="4E841353">
      <w:pPr>
        <w:pStyle w:val="ListParagraph"/>
        <w:numPr>
          <w:ilvl w:val="0"/>
          <w:numId w:val="6"/>
        </w:numPr>
        <w:rPr>
          <w:rFonts w:ascii="Arial" w:eastAsia="Arial" w:hAnsi="Arial" w:cs="Arial"/>
        </w:rPr>
      </w:pPr>
      <w:r w:rsidRPr="4E841353">
        <w:rPr>
          <w:rFonts w:ascii="Arial" w:eastAsia="Arial" w:hAnsi="Arial" w:cs="Arial"/>
        </w:rPr>
        <w:t>Number of records: 500</w:t>
      </w:r>
    </w:p>
    <w:p w14:paraId="4ACE6665" w14:textId="0C341B71" w:rsidR="00E37A7E" w:rsidRDefault="4E841353" w:rsidP="4E841353">
      <w:pPr>
        <w:pStyle w:val="ListParagraph"/>
        <w:numPr>
          <w:ilvl w:val="0"/>
          <w:numId w:val="6"/>
        </w:numPr>
        <w:rPr>
          <w:rFonts w:ascii="Arial" w:eastAsia="Arial" w:hAnsi="Arial" w:cs="Arial"/>
        </w:rPr>
      </w:pPr>
      <w:r w:rsidRPr="4E841353">
        <w:rPr>
          <w:rFonts w:ascii="Arial" w:eastAsia="Arial" w:hAnsi="Arial" w:cs="Arial"/>
        </w:rPr>
        <w:t>Key variables: Age, Income, Credit Score, Credit Utilization, Missed Payments, Debt-to-Income Ratio</w:t>
      </w:r>
    </w:p>
    <w:p w14:paraId="455C8543" w14:textId="03FB40E4" w:rsidR="00E37A7E" w:rsidRDefault="4E841353" w:rsidP="4E841353">
      <w:pPr>
        <w:pStyle w:val="ListParagraph"/>
        <w:numPr>
          <w:ilvl w:val="0"/>
          <w:numId w:val="6"/>
        </w:numPr>
        <w:rPr>
          <w:rFonts w:ascii="Arial" w:eastAsia="Arial" w:hAnsi="Arial" w:cs="Arial"/>
        </w:rPr>
      </w:pPr>
      <w:r w:rsidRPr="4E841353">
        <w:rPr>
          <w:rFonts w:ascii="Arial" w:eastAsia="Arial" w:hAnsi="Arial" w:cs="Arial"/>
        </w:rPr>
        <w:t>Data types: Categorical (Employment Status, Credit Card Type), Numerical (Income, Loan Balance)</w:t>
      </w:r>
    </w:p>
    <w:p w14:paraId="5A7A0835"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3. Missing Data Analysis</w:t>
      </w:r>
    </w:p>
    <w:p w14:paraId="2AA4E233" w14:textId="77777777" w:rsidR="00E37A7E" w:rsidRDefault="4E841353" w:rsidP="4E841353">
      <w:pPr>
        <w:rPr>
          <w:rFonts w:ascii="Arial" w:eastAsia="Arial" w:hAnsi="Arial" w:cs="Arial"/>
        </w:rPr>
      </w:pPr>
      <w:r w:rsidRPr="4E841353">
        <w:rPr>
          <w:rFonts w:ascii="Arial" w:eastAsia="Arial" w:hAnsi="Arial" w:cs="Arial"/>
        </w:rPr>
        <w:t>Some critical fields contain missing values, particularly in the Income and Loan Balance columns. These gaps could skew model predictions if not properly addressed.</w:t>
      </w:r>
    </w:p>
    <w:p w14:paraId="2E9C6CD3" w14:textId="77777777" w:rsidR="00E37A7E" w:rsidRDefault="4E841353" w:rsidP="4E841353">
      <w:pPr>
        <w:rPr>
          <w:rFonts w:ascii="Arial" w:eastAsia="Arial" w:hAnsi="Arial" w:cs="Arial"/>
        </w:rPr>
      </w:pPr>
      <w:r w:rsidRPr="4E841353">
        <w:rPr>
          <w:rFonts w:ascii="Arial" w:eastAsia="Arial" w:hAnsi="Arial" w:cs="Arial"/>
        </w:rPr>
        <w:t>Key missing data findings:</w:t>
      </w:r>
    </w:p>
    <w:p w14:paraId="0BDF33D0" w14:textId="11C16D09" w:rsidR="00E37A7E" w:rsidRDefault="4E841353" w:rsidP="4E841353">
      <w:pPr>
        <w:pStyle w:val="ListParagraph"/>
        <w:numPr>
          <w:ilvl w:val="0"/>
          <w:numId w:val="5"/>
        </w:numPr>
        <w:rPr>
          <w:rFonts w:ascii="Arial" w:eastAsia="Arial" w:hAnsi="Arial" w:cs="Arial"/>
        </w:rPr>
      </w:pPr>
      <w:r w:rsidRPr="4E841353">
        <w:rPr>
          <w:rFonts w:ascii="Arial" w:eastAsia="Arial" w:hAnsi="Arial" w:cs="Arial"/>
        </w:rPr>
        <w:t>Variables with missing values: Income (50 missing), Loan Balance (30 missing)</w:t>
      </w:r>
    </w:p>
    <w:p w14:paraId="0C175B69" w14:textId="454A4A03" w:rsidR="00E37A7E" w:rsidRDefault="4E841353" w:rsidP="4E841353">
      <w:pPr>
        <w:pStyle w:val="ListParagraph"/>
        <w:numPr>
          <w:ilvl w:val="0"/>
          <w:numId w:val="5"/>
        </w:numPr>
        <w:rPr>
          <w:rFonts w:ascii="Arial" w:eastAsia="Arial" w:hAnsi="Arial" w:cs="Arial"/>
        </w:rPr>
      </w:pPr>
      <w:r w:rsidRPr="4E841353">
        <w:rPr>
          <w:rFonts w:ascii="Arial" w:eastAsia="Arial" w:hAnsi="Arial" w:cs="Arial"/>
        </w:rPr>
        <w:t>Missing data treatment: Imputation using median values for numerical data, and AI-assisted synthetic data generation for Loan Balance where required.</w:t>
      </w:r>
    </w:p>
    <w:p w14:paraId="42D602DA"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4. Key Findings and Risk Indicators</w:t>
      </w:r>
    </w:p>
    <w:p w14:paraId="2735C8A7" w14:textId="77777777" w:rsidR="00E37A7E" w:rsidRDefault="4E841353" w:rsidP="4E841353">
      <w:pPr>
        <w:rPr>
          <w:rFonts w:ascii="Arial" w:eastAsia="Arial" w:hAnsi="Arial" w:cs="Arial"/>
        </w:rPr>
      </w:pPr>
      <w:r w:rsidRPr="4E841353">
        <w:rPr>
          <w:rFonts w:ascii="Arial" w:eastAsia="Arial" w:hAnsi="Arial" w:cs="Arial"/>
        </w:rPr>
        <w:t>Analysis of key risk indicators reveals that customers with high credit utilization and multiple missed payments have an increased probability of delinquency.</w:t>
      </w:r>
    </w:p>
    <w:p w14:paraId="0154A5A7" w14:textId="77777777" w:rsidR="00E37A7E" w:rsidRDefault="4E841353" w:rsidP="4E841353">
      <w:pPr>
        <w:rPr>
          <w:rFonts w:ascii="Arial" w:eastAsia="Arial" w:hAnsi="Arial" w:cs="Arial"/>
        </w:rPr>
      </w:pPr>
      <w:r w:rsidRPr="4E841353">
        <w:rPr>
          <w:rFonts w:ascii="Arial" w:eastAsia="Arial" w:hAnsi="Arial" w:cs="Arial"/>
        </w:rPr>
        <w:t>Key findings:</w:t>
      </w:r>
    </w:p>
    <w:p w14:paraId="4B716CFB" w14:textId="76775146" w:rsidR="00E37A7E" w:rsidRDefault="4E841353" w:rsidP="4E841353">
      <w:pPr>
        <w:pStyle w:val="ListParagraph"/>
        <w:numPr>
          <w:ilvl w:val="0"/>
          <w:numId w:val="4"/>
        </w:numPr>
        <w:rPr>
          <w:rFonts w:ascii="Arial" w:eastAsia="Arial" w:hAnsi="Arial" w:cs="Arial"/>
        </w:rPr>
      </w:pPr>
      <w:r w:rsidRPr="4E841353">
        <w:rPr>
          <w:rFonts w:ascii="Arial" w:eastAsia="Arial" w:hAnsi="Arial" w:cs="Arial"/>
        </w:rPr>
        <w:t>Strong correlation between high credit utilization (&gt;50%) and delinquency.</w:t>
      </w:r>
    </w:p>
    <w:p w14:paraId="3F4CBED4" w14:textId="6C3471A9" w:rsidR="00E37A7E" w:rsidRDefault="4E841353" w:rsidP="4E841353">
      <w:pPr>
        <w:pStyle w:val="ListParagraph"/>
        <w:numPr>
          <w:ilvl w:val="0"/>
          <w:numId w:val="4"/>
        </w:numPr>
        <w:rPr>
          <w:rFonts w:ascii="Arial" w:eastAsia="Arial" w:hAnsi="Arial" w:cs="Arial"/>
        </w:rPr>
      </w:pPr>
      <w:r w:rsidRPr="4E841353">
        <w:rPr>
          <w:rFonts w:ascii="Arial" w:eastAsia="Arial" w:hAnsi="Arial" w:cs="Arial"/>
        </w:rPr>
        <w:lastRenderedPageBreak/>
        <w:t>Customers with 3+ missed payments in the past 6 months have a higher delinquency rate.</w:t>
      </w:r>
    </w:p>
    <w:p w14:paraId="661C1FD3" w14:textId="2F294C34" w:rsidR="00E37A7E" w:rsidRDefault="4E841353" w:rsidP="4E841353">
      <w:pPr>
        <w:pStyle w:val="ListParagraph"/>
        <w:numPr>
          <w:ilvl w:val="0"/>
          <w:numId w:val="4"/>
        </w:numPr>
        <w:rPr>
          <w:rFonts w:ascii="Arial" w:eastAsia="Arial" w:hAnsi="Arial" w:cs="Arial"/>
        </w:rPr>
      </w:pPr>
      <w:r w:rsidRPr="4E841353">
        <w:rPr>
          <w:rFonts w:ascii="Arial" w:eastAsia="Arial" w:hAnsi="Arial" w:cs="Arial"/>
        </w:rPr>
        <w:t>Some anomalies detected where customers have high income but low credit scores, requiring further investigation.</w:t>
      </w:r>
    </w:p>
    <w:p w14:paraId="723692B8"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5. AI &amp; GenAI Usage</w:t>
      </w:r>
    </w:p>
    <w:p w14:paraId="230F6358" w14:textId="77777777" w:rsidR="00E37A7E" w:rsidRDefault="4E841353" w:rsidP="4E841353">
      <w:pPr>
        <w:rPr>
          <w:rFonts w:ascii="Arial" w:eastAsia="Arial" w:hAnsi="Arial" w:cs="Arial"/>
        </w:rPr>
      </w:pPr>
      <w:r w:rsidRPr="4E841353">
        <w:rPr>
          <w:rFonts w:ascii="Arial" w:eastAsia="Arial" w:hAnsi="Arial" w:cs="Arial"/>
        </w:rPr>
        <w:t>GenAI tools were used to summarize dataset trends, detect missing values, and analyze risk factors. The AI-generated insights were cross-validated against known financial risk benchmarks.</w:t>
      </w:r>
    </w:p>
    <w:p w14:paraId="080892BD" w14:textId="77777777" w:rsidR="00E37A7E" w:rsidRDefault="4E841353" w:rsidP="4E841353">
      <w:pPr>
        <w:rPr>
          <w:rFonts w:ascii="Arial" w:eastAsia="Arial" w:hAnsi="Arial" w:cs="Arial"/>
        </w:rPr>
      </w:pPr>
      <w:r w:rsidRPr="4E841353">
        <w:rPr>
          <w:rFonts w:ascii="Arial" w:eastAsia="Arial" w:hAnsi="Arial" w:cs="Arial"/>
        </w:rPr>
        <w:t>Example AI prompts used:</w:t>
      </w:r>
    </w:p>
    <w:p w14:paraId="4DA4333B" w14:textId="15027653" w:rsidR="00E37A7E" w:rsidRDefault="4E841353" w:rsidP="4E841353">
      <w:pPr>
        <w:pStyle w:val="ListParagraph"/>
        <w:numPr>
          <w:ilvl w:val="0"/>
          <w:numId w:val="3"/>
        </w:numPr>
        <w:rPr>
          <w:rFonts w:ascii="Arial" w:eastAsia="Arial" w:hAnsi="Arial" w:cs="Arial"/>
        </w:rPr>
      </w:pPr>
      <w:r w:rsidRPr="4E841353">
        <w:rPr>
          <w:rFonts w:ascii="Arial" w:eastAsia="Arial" w:hAnsi="Arial" w:cs="Arial"/>
        </w:rPr>
        <w:t>'Summarize key patterns in the dataset and identify missing values.'</w:t>
      </w:r>
    </w:p>
    <w:p w14:paraId="6E8FDA92" w14:textId="2FD7BEFB" w:rsidR="00E37A7E" w:rsidRDefault="4E841353" w:rsidP="4E841353">
      <w:pPr>
        <w:pStyle w:val="ListParagraph"/>
        <w:numPr>
          <w:ilvl w:val="0"/>
          <w:numId w:val="3"/>
        </w:numPr>
        <w:rPr>
          <w:rFonts w:ascii="Arial" w:eastAsia="Arial" w:hAnsi="Arial" w:cs="Arial"/>
        </w:rPr>
      </w:pPr>
      <w:r w:rsidRPr="4E841353">
        <w:rPr>
          <w:rFonts w:ascii="Arial" w:eastAsia="Arial" w:hAnsi="Arial" w:cs="Arial"/>
        </w:rPr>
        <w:t>'Analyze delinquency risk based on payment history and credit utilization.'</w:t>
      </w:r>
    </w:p>
    <w:p w14:paraId="1065B625" w14:textId="77777777" w:rsidR="00E37A7E" w:rsidRDefault="4E841353" w:rsidP="4E841353">
      <w:pPr>
        <w:pStyle w:val="Heading1"/>
        <w:rPr>
          <w:rFonts w:ascii="Arial" w:eastAsia="Arial" w:hAnsi="Arial" w:cs="Arial"/>
          <w:color w:val="auto"/>
        </w:rPr>
      </w:pPr>
      <w:r w:rsidRPr="4E841353">
        <w:rPr>
          <w:rFonts w:ascii="Arial" w:eastAsia="Arial" w:hAnsi="Arial" w:cs="Arial"/>
          <w:color w:val="auto"/>
        </w:rPr>
        <w:t>6. Conclusion &amp; Next Steps</w:t>
      </w:r>
    </w:p>
    <w:p w14:paraId="748EC5BE" w14:textId="46F20BE3" w:rsidR="4E841353" w:rsidRDefault="4E841353" w:rsidP="4E841353">
      <w:pPr>
        <w:spacing w:before="240" w:after="240"/>
        <w:rPr>
          <w:rFonts w:ascii="Arial" w:eastAsia="Arial" w:hAnsi="Arial" w:cs="Arial"/>
        </w:rPr>
      </w:pPr>
      <w:r w:rsidRPr="4E841353">
        <w:rPr>
          <w:rFonts w:ascii="Arial" w:eastAsia="Arial" w:hAnsi="Arial" w:cs="Arial"/>
        </w:rPr>
        <w:t xml:space="preserve">This exploratory data analysis (EDA) provided important insights into the quality of </w:t>
      </w:r>
      <w:proofErr w:type="spellStart"/>
      <w:r w:rsidRPr="4E841353">
        <w:rPr>
          <w:rFonts w:ascii="Arial" w:eastAsia="Arial" w:hAnsi="Arial" w:cs="Arial"/>
        </w:rPr>
        <w:t>Geldium’s</w:t>
      </w:r>
      <w:proofErr w:type="spellEnd"/>
      <w:r w:rsidRPr="4E841353">
        <w:rPr>
          <w:rFonts w:ascii="Arial" w:eastAsia="Arial" w:hAnsi="Arial" w:cs="Arial"/>
        </w:rPr>
        <w:t xml:space="preserve"> dataset and key risk factors for delinquency. The analysis revealed missing financial data, clear patterns in credit behavior, and some unusual data points that need further investigation.</w:t>
      </w:r>
    </w:p>
    <w:p w14:paraId="21142956" w14:textId="19CAD011" w:rsidR="4E841353" w:rsidRDefault="4E841353" w:rsidP="4E841353">
      <w:pPr>
        <w:pStyle w:val="Heading4"/>
        <w:spacing w:before="319" w:after="319"/>
        <w:rPr>
          <w:rFonts w:ascii="Arial" w:eastAsia="Arial" w:hAnsi="Arial" w:cs="Arial"/>
          <w:color w:val="auto"/>
          <w:sz w:val="24"/>
          <w:szCs w:val="24"/>
        </w:rPr>
      </w:pPr>
      <w:r w:rsidRPr="4E841353">
        <w:rPr>
          <w:rFonts w:ascii="Arial" w:eastAsia="Arial" w:hAnsi="Arial" w:cs="Arial"/>
          <w:color w:val="auto"/>
          <w:sz w:val="24"/>
          <w:szCs w:val="24"/>
        </w:rPr>
        <w:t>Key Findings:</w:t>
      </w:r>
    </w:p>
    <w:p w14:paraId="6FC5D5A9" w14:textId="5E1A22D0"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Missing data:</w:t>
      </w:r>
      <w:r w:rsidRPr="4E841353">
        <w:rPr>
          <w:rFonts w:ascii="Arial" w:eastAsia="Arial" w:hAnsi="Arial" w:cs="Arial"/>
        </w:rPr>
        <w:t xml:space="preserve"> Some customers have missing income and loan balance information, which could affect predictions.</w:t>
      </w:r>
    </w:p>
    <w:p w14:paraId="72DDC502" w14:textId="0DE429F3"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Delinquency risk:</w:t>
      </w:r>
      <w:r w:rsidRPr="4E841353">
        <w:rPr>
          <w:rFonts w:ascii="Arial" w:eastAsia="Arial" w:hAnsi="Arial" w:cs="Arial"/>
        </w:rPr>
        <w:t xml:space="preserve"> Customers with high credit utilization and multiple missed payments are more likely to become delinquent.</w:t>
      </w:r>
    </w:p>
    <w:p w14:paraId="1B414612" w14:textId="15AEA0D5" w:rsidR="4E841353" w:rsidRDefault="4E841353" w:rsidP="4E841353">
      <w:pPr>
        <w:pStyle w:val="ListParagraph"/>
        <w:numPr>
          <w:ilvl w:val="0"/>
          <w:numId w:val="2"/>
        </w:numPr>
        <w:spacing w:after="0"/>
        <w:rPr>
          <w:rFonts w:ascii="Arial" w:eastAsia="Arial" w:hAnsi="Arial" w:cs="Arial"/>
        </w:rPr>
      </w:pPr>
      <w:r w:rsidRPr="4E841353">
        <w:rPr>
          <w:rFonts w:ascii="Arial" w:eastAsia="Arial" w:hAnsi="Arial" w:cs="Arial"/>
          <w:b/>
          <w:bCs/>
        </w:rPr>
        <w:t>Unusual data patterns:</w:t>
      </w:r>
      <w:r w:rsidRPr="4E841353">
        <w:rPr>
          <w:rFonts w:ascii="Arial" w:eastAsia="Arial" w:hAnsi="Arial" w:cs="Arial"/>
        </w:rPr>
        <w:t xml:space="preserve"> Some high-income customers have low credit scores, which may indicate data errors or financial instability.</w:t>
      </w:r>
    </w:p>
    <w:p w14:paraId="0B7C8A70" w14:textId="5DE69094" w:rsidR="4E841353" w:rsidRDefault="4E841353" w:rsidP="4E841353">
      <w:pPr>
        <w:spacing w:after="0"/>
        <w:rPr>
          <w:rFonts w:ascii="Arial" w:eastAsia="Arial" w:hAnsi="Arial" w:cs="Arial"/>
        </w:rPr>
      </w:pPr>
    </w:p>
    <w:p w14:paraId="000394BF" w14:textId="551B2FC7" w:rsidR="4E841353" w:rsidRDefault="4E841353" w:rsidP="4E841353">
      <w:pPr>
        <w:pStyle w:val="Heading4"/>
        <w:spacing w:before="319" w:after="319"/>
        <w:rPr>
          <w:rFonts w:ascii="Arial" w:eastAsia="Arial" w:hAnsi="Arial" w:cs="Arial"/>
          <w:color w:val="auto"/>
          <w:sz w:val="24"/>
          <w:szCs w:val="24"/>
        </w:rPr>
      </w:pPr>
      <w:r w:rsidRPr="4E841353">
        <w:rPr>
          <w:rFonts w:ascii="Arial" w:eastAsia="Arial" w:hAnsi="Arial" w:cs="Arial"/>
          <w:color w:val="auto"/>
          <w:sz w:val="24"/>
          <w:szCs w:val="24"/>
        </w:rPr>
        <w:t>Next Steps:</w:t>
      </w:r>
    </w:p>
    <w:p w14:paraId="57F123B6" w14:textId="269F9B34"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Decide the best way to deal with missing income and loan balance values, ensuring that the chosen method does not introduce bias.</w:t>
      </w:r>
    </w:p>
    <w:p w14:paraId="0278B61C" w14:textId="41FDC979"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Double-check whether high credit utilization and missed payments remain the strongest indicators of delinquency across different customer groups.</w:t>
      </w:r>
    </w:p>
    <w:p w14:paraId="5DC60839" w14:textId="5A81CD5F" w:rsidR="4E841353" w:rsidRDefault="4E841353" w:rsidP="4E841353">
      <w:pPr>
        <w:pStyle w:val="ListParagraph"/>
        <w:numPr>
          <w:ilvl w:val="0"/>
          <w:numId w:val="1"/>
        </w:numPr>
        <w:spacing w:after="0"/>
        <w:rPr>
          <w:rFonts w:ascii="Arial" w:eastAsia="Arial" w:hAnsi="Arial" w:cs="Arial"/>
        </w:rPr>
      </w:pPr>
      <w:r w:rsidRPr="4E841353">
        <w:rPr>
          <w:rFonts w:ascii="Arial" w:eastAsia="Arial" w:hAnsi="Arial" w:cs="Arial"/>
        </w:rPr>
        <w:t>Look into records where customers have high income but low credit scores to see if there are reporting errors or other explanations.</w:t>
      </w:r>
    </w:p>
    <w:p w14:paraId="1D4FC78E" w14:textId="47856415" w:rsidR="4E841353" w:rsidRDefault="4E841353" w:rsidP="4E841353">
      <w:pPr>
        <w:spacing w:before="240" w:after="240"/>
        <w:rPr>
          <w:rFonts w:ascii="Arial" w:eastAsia="Arial" w:hAnsi="Arial" w:cs="Arial"/>
        </w:rPr>
      </w:pPr>
      <w:r w:rsidRPr="4E841353">
        <w:rPr>
          <w:rFonts w:ascii="Arial" w:eastAsia="Arial" w:hAnsi="Arial" w:cs="Arial"/>
        </w:rPr>
        <w:lastRenderedPageBreak/>
        <w:t xml:space="preserve">These findings will help </w:t>
      </w:r>
      <w:proofErr w:type="spellStart"/>
      <w:r w:rsidRPr="4E841353">
        <w:rPr>
          <w:rFonts w:ascii="Arial" w:eastAsia="Arial" w:hAnsi="Arial" w:cs="Arial"/>
        </w:rPr>
        <w:t>Geldium</w:t>
      </w:r>
      <w:proofErr w:type="spellEnd"/>
      <w:r w:rsidRPr="4E841353">
        <w:rPr>
          <w:rFonts w:ascii="Arial" w:eastAsia="Arial" w:hAnsi="Arial" w:cs="Arial"/>
        </w:rPr>
        <w:t xml:space="preserve"> refine how it assesses risk and prioritizes outreach efforts. The next steps should focus on improving data quality, verifying patterns, and preparing for further analysis.</w:t>
      </w:r>
    </w:p>
    <w:p w14:paraId="0FD2D852" w14:textId="113C871C" w:rsidR="4E841353" w:rsidRDefault="4E841353" w:rsidP="4E841353">
      <w:pPr>
        <w:pStyle w:val="ListParagraph"/>
        <w:spacing w:after="0"/>
        <w:rPr>
          <w:rFonts w:ascii="Arial" w:eastAsia="Arial" w:hAnsi="Arial" w:cs="Arial"/>
        </w:rPr>
      </w:pPr>
    </w:p>
    <w:p w14:paraId="0E65E88E" w14:textId="6D397478" w:rsidR="4E841353" w:rsidRDefault="4E841353" w:rsidP="4E841353">
      <w:pPr>
        <w:rPr>
          <w:rFonts w:ascii="Arial" w:eastAsia="Arial" w:hAnsi="Arial" w:cs="Arial"/>
        </w:rPr>
      </w:pPr>
    </w:p>
    <w:sectPr w:rsidR="4E841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E121A"/>
    <w:multiLevelType w:val="hybridMultilevel"/>
    <w:tmpl w:val="58AAF988"/>
    <w:lvl w:ilvl="0" w:tplc="6F64E220">
      <w:start w:val="1"/>
      <w:numFmt w:val="bullet"/>
      <w:lvlText w:val=""/>
      <w:lvlJc w:val="left"/>
      <w:pPr>
        <w:ind w:left="720" w:hanging="360"/>
      </w:pPr>
      <w:rPr>
        <w:rFonts w:ascii="Symbol" w:hAnsi="Symbol" w:hint="default"/>
      </w:rPr>
    </w:lvl>
    <w:lvl w:ilvl="1" w:tplc="70829C7C">
      <w:start w:val="1"/>
      <w:numFmt w:val="bullet"/>
      <w:lvlText w:val="o"/>
      <w:lvlJc w:val="left"/>
      <w:pPr>
        <w:ind w:left="1440" w:hanging="360"/>
      </w:pPr>
      <w:rPr>
        <w:rFonts w:ascii="Courier New" w:hAnsi="Courier New" w:hint="default"/>
      </w:rPr>
    </w:lvl>
    <w:lvl w:ilvl="2" w:tplc="E30A9BE8">
      <w:start w:val="1"/>
      <w:numFmt w:val="bullet"/>
      <w:lvlText w:val=""/>
      <w:lvlJc w:val="left"/>
      <w:pPr>
        <w:ind w:left="2160" w:hanging="360"/>
      </w:pPr>
      <w:rPr>
        <w:rFonts w:ascii="Wingdings" w:hAnsi="Wingdings" w:hint="default"/>
      </w:rPr>
    </w:lvl>
    <w:lvl w:ilvl="3" w:tplc="A8A2C2DC">
      <w:start w:val="1"/>
      <w:numFmt w:val="bullet"/>
      <w:lvlText w:val=""/>
      <w:lvlJc w:val="left"/>
      <w:pPr>
        <w:ind w:left="2880" w:hanging="360"/>
      </w:pPr>
      <w:rPr>
        <w:rFonts w:ascii="Symbol" w:hAnsi="Symbol" w:hint="default"/>
      </w:rPr>
    </w:lvl>
    <w:lvl w:ilvl="4" w:tplc="257A0C7C">
      <w:start w:val="1"/>
      <w:numFmt w:val="bullet"/>
      <w:lvlText w:val="o"/>
      <w:lvlJc w:val="left"/>
      <w:pPr>
        <w:ind w:left="3600" w:hanging="360"/>
      </w:pPr>
      <w:rPr>
        <w:rFonts w:ascii="Courier New" w:hAnsi="Courier New" w:hint="default"/>
      </w:rPr>
    </w:lvl>
    <w:lvl w:ilvl="5" w:tplc="47DAC346">
      <w:start w:val="1"/>
      <w:numFmt w:val="bullet"/>
      <w:lvlText w:val=""/>
      <w:lvlJc w:val="left"/>
      <w:pPr>
        <w:ind w:left="4320" w:hanging="360"/>
      </w:pPr>
      <w:rPr>
        <w:rFonts w:ascii="Wingdings" w:hAnsi="Wingdings" w:hint="default"/>
      </w:rPr>
    </w:lvl>
    <w:lvl w:ilvl="6" w:tplc="F086CAA8">
      <w:start w:val="1"/>
      <w:numFmt w:val="bullet"/>
      <w:lvlText w:val=""/>
      <w:lvlJc w:val="left"/>
      <w:pPr>
        <w:ind w:left="5040" w:hanging="360"/>
      </w:pPr>
      <w:rPr>
        <w:rFonts w:ascii="Symbol" w:hAnsi="Symbol" w:hint="default"/>
      </w:rPr>
    </w:lvl>
    <w:lvl w:ilvl="7" w:tplc="0DCA8356">
      <w:start w:val="1"/>
      <w:numFmt w:val="bullet"/>
      <w:lvlText w:val="o"/>
      <w:lvlJc w:val="left"/>
      <w:pPr>
        <w:ind w:left="5760" w:hanging="360"/>
      </w:pPr>
      <w:rPr>
        <w:rFonts w:ascii="Courier New" w:hAnsi="Courier New" w:hint="default"/>
      </w:rPr>
    </w:lvl>
    <w:lvl w:ilvl="8" w:tplc="DD0812CE">
      <w:start w:val="1"/>
      <w:numFmt w:val="bullet"/>
      <w:lvlText w:val=""/>
      <w:lvlJc w:val="left"/>
      <w:pPr>
        <w:ind w:left="6480" w:hanging="360"/>
      </w:pPr>
      <w:rPr>
        <w:rFonts w:ascii="Wingdings" w:hAnsi="Wingdings" w:hint="default"/>
      </w:rPr>
    </w:lvl>
  </w:abstractNum>
  <w:abstractNum w:abstractNumId="10" w15:restartNumberingAfterBreak="0">
    <w:nsid w:val="46EAD354"/>
    <w:multiLevelType w:val="hybridMultilevel"/>
    <w:tmpl w:val="388A7658"/>
    <w:lvl w:ilvl="0" w:tplc="72B63B68">
      <w:start w:val="1"/>
      <w:numFmt w:val="bullet"/>
      <w:lvlText w:val=""/>
      <w:lvlJc w:val="left"/>
      <w:pPr>
        <w:ind w:left="720" w:hanging="360"/>
      </w:pPr>
      <w:rPr>
        <w:rFonts w:ascii="Symbol" w:hAnsi="Symbol" w:hint="default"/>
      </w:rPr>
    </w:lvl>
    <w:lvl w:ilvl="1" w:tplc="6B2CD540">
      <w:start w:val="1"/>
      <w:numFmt w:val="bullet"/>
      <w:lvlText w:val="o"/>
      <w:lvlJc w:val="left"/>
      <w:pPr>
        <w:ind w:left="1440" w:hanging="360"/>
      </w:pPr>
      <w:rPr>
        <w:rFonts w:ascii="Courier New" w:hAnsi="Courier New" w:hint="default"/>
      </w:rPr>
    </w:lvl>
    <w:lvl w:ilvl="2" w:tplc="8AF69092">
      <w:start w:val="1"/>
      <w:numFmt w:val="bullet"/>
      <w:lvlText w:val=""/>
      <w:lvlJc w:val="left"/>
      <w:pPr>
        <w:ind w:left="2160" w:hanging="360"/>
      </w:pPr>
      <w:rPr>
        <w:rFonts w:ascii="Wingdings" w:hAnsi="Wingdings" w:hint="default"/>
      </w:rPr>
    </w:lvl>
    <w:lvl w:ilvl="3" w:tplc="C64272D8">
      <w:start w:val="1"/>
      <w:numFmt w:val="bullet"/>
      <w:lvlText w:val=""/>
      <w:lvlJc w:val="left"/>
      <w:pPr>
        <w:ind w:left="2880" w:hanging="360"/>
      </w:pPr>
      <w:rPr>
        <w:rFonts w:ascii="Symbol" w:hAnsi="Symbol" w:hint="default"/>
      </w:rPr>
    </w:lvl>
    <w:lvl w:ilvl="4" w:tplc="2C121588">
      <w:start w:val="1"/>
      <w:numFmt w:val="bullet"/>
      <w:lvlText w:val="o"/>
      <w:lvlJc w:val="left"/>
      <w:pPr>
        <w:ind w:left="3600" w:hanging="360"/>
      </w:pPr>
      <w:rPr>
        <w:rFonts w:ascii="Courier New" w:hAnsi="Courier New" w:hint="default"/>
      </w:rPr>
    </w:lvl>
    <w:lvl w:ilvl="5" w:tplc="5A5CF0A0">
      <w:start w:val="1"/>
      <w:numFmt w:val="bullet"/>
      <w:lvlText w:val=""/>
      <w:lvlJc w:val="left"/>
      <w:pPr>
        <w:ind w:left="4320" w:hanging="360"/>
      </w:pPr>
      <w:rPr>
        <w:rFonts w:ascii="Wingdings" w:hAnsi="Wingdings" w:hint="default"/>
      </w:rPr>
    </w:lvl>
    <w:lvl w:ilvl="6" w:tplc="C64CF722">
      <w:start w:val="1"/>
      <w:numFmt w:val="bullet"/>
      <w:lvlText w:val=""/>
      <w:lvlJc w:val="left"/>
      <w:pPr>
        <w:ind w:left="5040" w:hanging="360"/>
      </w:pPr>
      <w:rPr>
        <w:rFonts w:ascii="Symbol" w:hAnsi="Symbol" w:hint="default"/>
      </w:rPr>
    </w:lvl>
    <w:lvl w:ilvl="7" w:tplc="846E0236">
      <w:start w:val="1"/>
      <w:numFmt w:val="bullet"/>
      <w:lvlText w:val="o"/>
      <w:lvlJc w:val="left"/>
      <w:pPr>
        <w:ind w:left="5760" w:hanging="360"/>
      </w:pPr>
      <w:rPr>
        <w:rFonts w:ascii="Courier New" w:hAnsi="Courier New" w:hint="default"/>
      </w:rPr>
    </w:lvl>
    <w:lvl w:ilvl="8" w:tplc="4308194A">
      <w:start w:val="1"/>
      <w:numFmt w:val="bullet"/>
      <w:lvlText w:val=""/>
      <w:lvlJc w:val="left"/>
      <w:pPr>
        <w:ind w:left="6480" w:hanging="360"/>
      </w:pPr>
      <w:rPr>
        <w:rFonts w:ascii="Wingdings" w:hAnsi="Wingdings" w:hint="default"/>
      </w:rPr>
    </w:lvl>
  </w:abstractNum>
  <w:abstractNum w:abstractNumId="11" w15:restartNumberingAfterBreak="0">
    <w:nsid w:val="471E5E98"/>
    <w:multiLevelType w:val="hybridMultilevel"/>
    <w:tmpl w:val="69C6694A"/>
    <w:lvl w:ilvl="0" w:tplc="9736836A">
      <w:start w:val="1"/>
      <w:numFmt w:val="bullet"/>
      <w:lvlText w:val=""/>
      <w:lvlJc w:val="left"/>
      <w:pPr>
        <w:ind w:left="720" w:hanging="360"/>
      </w:pPr>
      <w:rPr>
        <w:rFonts w:ascii="Symbol" w:hAnsi="Symbol" w:hint="default"/>
      </w:rPr>
    </w:lvl>
    <w:lvl w:ilvl="1" w:tplc="0274859C">
      <w:start w:val="1"/>
      <w:numFmt w:val="bullet"/>
      <w:lvlText w:val="o"/>
      <w:lvlJc w:val="left"/>
      <w:pPr>
        <w:ind w:left="1440" w:hanging="360"/>
      </w:pPr>
      <w:rPr>
        <w:rFonts w:ascii="Courier New" w:hAnsi="Courier New" w:hint="default"/>
      </w:rPr>
    </w:lvl>
    <w:lvl w:ilvl="2" w:tplc="17F216FC">
      <w:start w:val="1"/>
      <w:numFmt w:val="bullet"/>
      <w:lvlText w:val=""/>
      <w:lvlJc w:val="left"/>
      <w:pPr>
        <w:ind w:left="2160" w:hanging="360"/>
      </w:pPr>
      <w:rPr>
        <w:rFonts w:ascii="Wingdings" w:hAnsi="Wingdings" w:hint="default"/>
      </w:rPr>
    </w:lvl>
    <w:lvl w:ilvl="3" w:tplc="4914FBB0">
      <w:start w:val="1"/>
      <w:numFmt w:val="bullet"/>
      <w:lvlText w:val=""/>
      <w:lvlJc w:val="left"/>
      <w:pPr>
        <w:ind w:left="2880" w:hanging="360"/>
      </w:pPr>
      <w:rPr>
        <w:rFonts w:ascii="Symbol" w:hAnsi="Symbol" w:hint="default"/>
      </w:rPr>
    </w:lvl>
    <w:lvl w:ilvl="4" w:tplc="3F564472">
      <w:start w:val="1"/>
      <w:numFmt w:val="bullet"/>
      <w:lvlText w:val="o"/>
      <w:lvlJc w:val="left"/>
      <w:pPr>
        <w:ind w:left="3600" w:hanging="360"/>
      </w:pPr>
      <w:rPr>
        <w:rFonts w:ascii="Courier New" w:hAnsi="Courier New" w:hint="default"/>
      </w:rPr>
    </w:lvl>
    <w:lvl w:ilvl="5" w:tplc="26AE2C1A">
      <w:start w:val="1"/>
      <w:numFmt w:val="bullet"/>
      <w:lvlText w:val=""/>
      <w:lvlJc w:val="left"/>
      <w:pPr>
        <w:ind w:left="4320" w:hanging="360"/>
      </w:pPr>
      <w:rPr>
        <w:rFonts w:ascii="Wingdings" w:hAnsi="Wingdings" w:hint="default"/>
      </w:rPr>
    </w:lvl>
    <w:lvl w:ilvl="6" w:tplc="6C5CA1A8">
      <w:start w:val="1"/>
      <w:numFmt w:val="bullet"/>
      <w:lvlText w:val=""/>
      <w:lvlJc w:val="left"/>
      <w:pPr>
        <w:ind w:left="5040" w:hanging="360"/>
      </w:pPr>
      <w:rPr>
        <w:rFonts w:ascii="Symbol" w:hAnsi="Symbol" w:hint="default"/>
      </w:rPr>
    </w:lvl>
    <w:lvl w:ilvl="7" w:tplc="2F8A4EAC">
      <w:start w:val="1"/>
      <w:numFmt w:val="bullet"/>
      <w:lvlText w:val="o"/>
      <w:lvlJc w:val="left"/>
      <w:pPr>
        <w:ind w:left="5760" w:hanging="360"/>
      </w:pPr>
      <w:rPr>
        <w:rFonts w:ascii="Courier New" w:hAnsi="Courier New" w:hint="default"/>
      </w:rPr>
    </w:lvl>
    <w:lvl w:ilvl="8" w:tplc="794860DE">
      <w:start w:val="1"/>
      <w:numFmt w:val="bullet"/>
      <w:lvlText w:val=""/>
      <w:lvlJc w:val="left"/>
      <w:pPr>
        <w:ind w:left="6480" w:hanging="360"/>
      </w:pPr>
      <w:rPr>
        <w:rFonts w:ascii="Wingdings" w:hAnsi="Wingdings" w:hint="default"/>
      </w:rPr>
    </w:lvl>
  </w:abstractNum>
  <w:abstractNum w:abstractNumId="12" w15:restartNumberingAfterBreak="0">
    <w:nsid w:val="5A3398F0"/>
    <w:multiLevelType w:val="hybridMultilevel"/>
    <w:tmpl w:val="9F565150"/>
    <w:lvl w:ilvl="0" w:tplc="CFFEE774">
      <w:start w:val="1"/>
      <w:numFmt w:val="bullet"/>
      <w:lvlText w:val=""/>
      <w:lvlJc w:val="left"/>
      <w:pPr>
        <w:ind w:left="720" w:hanging="360"/>
      </w:pPr>
      <w:rPr>
        <w:rFonts w:ascii="Symbol" w:hAnsi="Symbol" w:hint="default"/>
      </w:rPr>
    </w:lvl>
    <w:lvl w:ilvl="1" w:tplc="070E0A08">
      <w:start w:val="1"/>
      <w:numFmt w:val="bullet"/>
      <w:lvlText w:val="o"/>
      <w:lvlJc w:val="left"/>
      <w:pPr>
        <w:ind w:left="1440" w:hanging="360"/>
      </w:pPr>
      <w:rPr>
        <w:rFonts w:ascii="Courier New" w:hAnsi="Courier New" w:hint="default"/>
      </w:rPr>
    </w:lvl>
    <w:lvl w:ilvl="2" w:tplc="2B1E98AC">
      <w:start w:val="1"/>
      <w:numFmt w:val="bullet"/>
      <w:lvlText w:val=""/>
      <w:lvlJc w:val="left"/>
      <w:pPr>
        <w:ind w:left="2160" w:hanging="360"/>
      </w:pPr>
      <w:rPr>
        <w:rFonts w:ascii="Wingdings" w:hAnsi="Wingdings" w:hint="default"/>
      </w:rPr>
    </w:lvl>
    <w:lvl w:ilvl="3" w:tplc="75F6FF5A">
      <w:start w:val="1"/>
      <w:numFmt w:val="bullet"/>
      <w:lvlText w:val=""/>
      <w:lvlJc w:val="left"/>
      <w:pPr>
        <w:ind w:left="2880" w:hanging="360"/>
      </w:pPr>
      <w:rPr>
        <w:rFonts w:ascii="Symbol" w:hAnsi="Symbol" w:hint="default"/>
      </w:rPr>
    </w:lvl>
    <w:lvl w:ilvl="4" w:tplc="C562D76A">
      <w:start w:val="1"/>
      <w:numFmt w:val="bullet"/>
      <w:lvlText w:val="o"/>
      <w:lvlJc w:val="left"/>
      <w:pPr>
        <w:ind w:left="3600" w:hanging="360"/>
      </w:pPr>
      <w:rPr>
        <w:rFonts w:ascii="Courier New" w:hAnsi="Courier New" w:hint="default"/>
      </w:rPr>
    </w:lvl>
    <w:lvl w:ilvl="5" w:tplc="8D7EC38C">
      <w:start w:val="1"/>
      <w:numFmt w:val="bullet"/>
      <w:lvlText w:val=""/>
      <w:lvlJc w:val="left"/>
      <w:pPr>
        <w:ind w:left="4320" w:hanging="360"/>
      </w:pPr>
      <w:rPr>
        <w:rFonts w:ascii="Wingdings" w:hAnsi="Wingdings" w:hint="default"/>
      </w:rPr>
    </w:lvl>
    <w:lvl w:ilvl="6" w:tplc="5B0431CE">
      <w:start w:val="1"/>
      <w:numFmt w:val="bullet"/>
      <w:lvlText w:val=""/>
      <w:lvlJc w:val="left"/>
      <w:pPr>
        <w:ind w:left="5040" w:hanging="360"/>
      </w:pPr>
      <w:rPr>
        <w:rFonts w:ascii="Symbol" w:hAnsi="Symbol" w:hint="default"/>
      </w:rPr>
    </w:lvl>
    <w:lvl w:ilvl="7" w:tplc="1FFE9D60">
      <w:start w:val="1"/>
      <w:numFmt w:val="bullet"/>
      <w:lvlText w:val="o"/>
      <w:lvlJc w:val="left"/>
      <w:pPr>
        <w:ind w:left="5760" w:hanging="360"/>
      </w:pPr>
      <w:rPr>
        <w:rFonts w:ascii="Courier New" w:hAnsi="Courier New" w:hint="default"/>
      </w:rPr>
    </w:lvl>
    <w:lvl w:ilvl="8" w:tplc="11C29FCA">
      <w:start w:val="1"/>
      <w:numFmt w:val="bullet"/>
      <w:lvlText w:val=""/>
      <w:lvlJc w:val="left"/>
      <w:pPr>
        <w:ind w:left="6480" w:hanging="360"/>
      </w:pPr>
      <w:rPr>
        <w:rFonts w:ascii="Wingdings" w:hAnsi="Wingdings" w:hint="default"/>
      </w:rPr>
    </w:lvl>
  </w:abstractNum>
  <w:abstractNum w:abstractNumId="13" w15:restartNumberingAfterBreak="0">
    <w:nsid w:val="6E0AE9D8"/>
    <w:multiLevelType w:val="hybridMultilevel"/>
    <w:tmpl w:val="0254A7A8"/>
    <w:lvl w:ilvl="0" w:tplc="6A4409E0">
      <w:start w:val="1"/>
      <w:numFmt w:val="bullet"/>
      <w:lvlText w:val=""/>
      <w:lvlJc w:val="left"/>
      <w:pPr>
        <w:ind w:left="720" w:hanging="360"/>
      </w:pPr>
      <w:rPr>
        <w:rFonts w:ascii="Symbol" w:hAnsi="Symbol" w:hint="default"/>
      </w:rPr>
    </w:lvl>
    <w:lvl w:ilvl="1" w:tplc="32E84002">
      <w:start w:val="1"/>
      <w:numFmt w:val="bullet"/>
      <w:lvlText w:val="o"/>
      <w:lvlJc w:val="left"/>
      <w:pPr>
        <w:ind w:left="1440" w:hanging="360"/>
      </w:pPr>
      <w:rPr>
        <w:rFonts w:ascii="Courier New" w:hAnsi="Courier New" w:hint="default"/>
      </w:rPr>
    </w:lvl>
    <w:lvl w:ilvl="2" w:tplc="1E88C4E2">
      <w:start w:val="1"/>
      <w:numFmt w:val="bullet"/>
      <w:lvlText w:val=""/>
      <w:lvlJc w:val="left"/>
      <w:pPr>
        <w:ind w:left="2160" w:hanging="360"/>
      </w:pPr>
      <w:rPr>
        <w:rFonts w:ascii="Wingdings" w:hAnsi="Wingdings" w:hint="default"/>
      </w:rPr>
    </w:lvl>
    <w:lvl w:ilvl="3" w:tplc="B38A2528">
      <w:start w:val="1"/>
      <w:numFmt w:val="bullet"/>
      <w:lvlText w:val=""/>
      <w:lvlJc w:val="left"/>
      <w:pPr>
        <w:ind w:left="2880" w:hanging="360"/>
      </w:pPr>
      <w:rPr>
        <w:rFonts w:ascii="Symbol" w:hAnsi="Symbol" w:hint="default"/>
      </w:rPr>
    </w:lvl>
    <w:lvl w:ilvl="4" w:tplc="DE064D84">
      <w:start w:val="1"/>
      <w:numFmt w:val="bullet"/>
      <w:lvlText w:val="o"/>
      <w:lvlJc w:val="left"/>
      <w:pPr>
        <w:ind w:left="3600" w:hanging="360"/>
      </w:pPr>
      <w:rPr>
        <w:rFonts w:ascii="Courier New" w:hAnsi="Courier New" w:hint="default"/>
      </w:rPr>
    </w:lvl>
    <w:lvl w:ilvl="5" w:tplc="39E80932">
      <w:start w:val="1"/>
      <w:numFmt w:val="bullet"/>
      <w:lvlText w:val=""/>
      <w:lvlJc w:val="left"/>
      <w:pPr>
        <w:ind w:left="4320" w:hanging="360"/>
      </w:pPr>
      <w:rPr>
        <w:rFonts w:ascii="Wingdings" w:hAnsi="Wingdings" w:hint="default"/>
      </w:rPr>
    </w:lvl>
    <w:lvl w:ilvl="6" w:tplc="1FAA1F80">
      <w:start w:val="1"/>
      <w:numFmt w:val="bullet"/>
      <w:lvlText w:val=""/>
      <w:lvlJc w:val="left"/>
      <w:pPr>
        <w:ind w:left="5040" w:hanging="360"/>
      </w:pPr>
      <w:rPr>
        <w:rFonts w:ascii="Symbol" w:hAnsi="Symbol" w:hint="default"/>
      </w:rPr>
    </w:lvl>
    <w:lvl w:ilvl="7" w:tplc="C1CE9684">
      <w:start w:val="1"/>
      <w:numFmt w:val="bullet"/>
      <w:lvlText w:val="o"/>
      <w:lvlJc w:val="left"/>
      <w:pPr>
        <w:ind w:left="5760" w:hanging="360"/>
      </w:pPr>
      <w:rPr>
        <w:rFonts w:ascii="Courier New" w:hAnsi="Courier New" w:hint="default"/>
      </w:rPr>
    </w:lvl>
    <w:lvl w:ilvl="8" w:tplc="D15A1AF2">
      <w:start w:val="1"/>
      <w:numFmt w:val="bullet"/>
      <w:lvlText w:val=""/>
      <w:lvlJc w:val="left"/>
      <w:pPr>
        <w:ind w:left="6480" w:hanging="360"/>
      </w:pPr>
      <w:rPr>
        <w:rFonts w:ascii="Wingdings" w:hAnsi="Wingdings" w:hint="default"/>
      </w:rPr>
    </w:lvl>
  </w:abstractNum>
  <w:abstractNum w:abstractNumId="14" w15:restartNumberingAfterBreak="0">
    <w:nsid w:val="723D4B22"/>
    <w:multiLevelType w:val="hybridMultilevel"/>
    <w:tmpl w:val="8C1232C2"/>
    <w:lvl w:ilvl="0" w:tplc="AF78158C">
      <w:start w:val="1"/>
      <w:numFmt w:val="bullet"/>
      <w:lvlText w:val=""/>
      <w:lvlJc w:val="left"/>
      <w:pPr>
        <w:ind w:left="720" w:hanging="360"/>
      </w:pPr>
      <w:rPr>
        <w:rFonts w:ascii="Symbol" w:hAnsi="Symbol" w:hint="default"/>
      </w:rPr>
    </w:lvl>
    <w:lvl w:ilvl="1" w:tplc="0C6265FE">
      <w:start w:val="1"/>
      <w:numFmt w:val="bullet"/>
      <w:lvlText w:val="o"/>
      <w:lvlJc w:val="left"/>
      <w:pPr>
        <w:ind w:left="1440" w:hanging="360"/>
      </w:pPr>
      <w:rPr>
        <w:rFonts w:ascii="Courier New" w:hAnsi="Courier New" w:hint="default"/>
      </w:rPr>
    </w:lvl>
    <w:lvl w:ilvl="2" w:tplc="3E9A1DB4">
      <w:start w:val="1"/>
      <w:numFmt w:val="bullet"/>
      <w:lvlText w:val=""/>
      <w:lvlJc w:val="left"/>
      <w:pPr>
        <w:ind w:left="2160" w:hanging="360"/>
      </w:pPr>
      <w:rPr>
        <w:rFonts w:ascii="Wingdings" w:hAnsi="Wingdings" w:hint="default"/>
      </w:rPr>
    </w:lvl>
    <w:lvl w:ilvl="3" w:tplc="F90CFF06">
      <w:start w:val="1"/>
      <w:numFmt w:val="bullet"/>
      <w:lvlText w:val=""/>
      <w:lvlJc w:val="left"/>
      <w:pPr>
        <w:ind w:left="2880" w:hanging="360"/>
      </w:pPr>
      <w:rPr>
        <w:rFonts w:ascii="Symbol" w:hAnsi="Symbol" w:hint="default"/>
      </w:rPr>
    </w:lvl>
    <w:lvl w:ilvl="4" w:tplc="222A0E9A">
      <w:start w:val="1"/>
      <w:numFmt w:val="bullet"/>
      <w:lvlText w:val="o"/>
      <w:lvlJc w:val="left"/>
      <w:pPr>
        <w:ind w:left="3600" w:hanging="360"/>
      </w:pPr>
      <w:rPr>
        <w:rFonts w:ascii="Courier New" w:hAnsi="Courier New" w:hint="default"/>
      </w:rPr>
    </w:lvl>
    <w:lvl w:ilvl="5" w:tplc="9C7839C6">
      <w:start w:val="1"/>
      <w:numFmt w:val="bullet"/>
      <w:lvlText w:val=""/>
      <w:lvlJc w:val="left"/>
      <w:pPr>
        <w:ind w:left="4320" w:hanging="360"/>
      </w:pPr>
      <w:rPr>
        <w:rFonts w:ascii="Wingdings" w:hAnsi="Wingdings" w:hint="default"/>
      </w:rPr>
    </w:lvl>
    <w:lvl w:ilvl="6" w:tplc="E902A950">
      <w:start w:val="1"/>
      <w:numFmt w:val="bullet"/>
      <w:lvlText w:val=""/>
      <w:lvlJc w:val="left"/>
      <w:pPr>
        <w:ind w:left="5040" w:hanging="360"/>
      </w:pPr>
      <w:rPr>
        <w:rFonts w:ascii="Symbol" w:hAnsi="Symbol" w:hint="default"/>
      </w:rPr>
    </w:lvl>
    <w:lvl w:ilvl="7" w:tplc="E182E686">
      <w:start w:val="1"/>
      <w:numFmt w:val="bullet"/>
      <w:lvlText w:val="o"/>
      <w:lvlJc w:val="left"/>
      <w:pPr>
        <w:ind w:left="5760" w:hanging="360"/>
      </w:pPr>
      <w:rPr>
        <w:rFonts w:ascii="Courier New" w:hAnsi="Courier New" w:hint="default"/>
      </w:rPr>
    </w:lvl>
    <w:lvl w:ilvl="8" w:tplc="26A4D4EC">
      <w:start w:val="1"/>
      <w:numFmt w:val="bullet"/>
      <w:lvlText w:val=""/>
      <w:lvlJc w:val="left"/>
      <w:pPr>
        <w:ind w:left="6480" w:hanging="360"/>
      </w:pPr>
      <w:rPr>
        <w:rFonts w:ascii="Wingdings" w:hAnsi="Wingdings" w:hint="default"/>
      </w:rPr>
    </w:lvl>
  </w:abstractNum>
  <w:num w:numId="1" w16cid:durableId="508062406">
    <w:abstractNumId w:val="9"/>
  </w:num>
  <w:num w:numId="2" w16cid:durableId="1402678002">
    <w:abstractNumId w:val="13"/>
  </w:num>
  <w:num w:numId="3" w16cid:durableId="1609966372">
    <w:abstractNumId w:val="14"/>
  </w:num>
  <w:num w:numId="4" w16cid:durableId="111756335">
    <w:abstractNumId w:val="10"/>
  </w:num>
  <w:num w:numId="5" w16cid:durableId="592511822">
    <w:abstractNumId w:val="12"/>
  </w:num>
  <w:num w:numId="6" w16cid:durableId="532577962">
    <w:abstractNumId w:val="11"/>
  </w:num>
  <w:num w:numId="7" w16cid:durableId="594483837">
    <w:abstractNumId w:val="8"/>
  </w:num>
  <w:num w:numId="8" w16cid:durableId="1131096756">
    <w:abstractNumId w:val="6"/>
  </w:num>
  <w:num w:numId="9" w16cid:durableId="8652180">
    <w:abstractNumId w:val="5"/>
  </w:num>
  <w:num w:numId="10" w16cid:durableId="165369775">
    <w:abstractNumId w:val="4"/>
  </w:num>
  <w:num w:numId="11" w16cid:durableId="677541030">
    <w:abstractNumId w:val="7"/>
  </w:num>
  <w:num w:numId="12" w16cid:durableId="1144279988">
    <w:abstractNumId w:val="3"/>
  </w:num>
  <w:num w:numId="13" w16cid:durableId="1030379237">
    <w:abstractNumId w:val="2"/>
  </w:num>
  <w:num w:numId="14" w16cid:durableId="1101490572">
    <w:abstractNumId w:val="1"/>
  </w:num>
  <w:num w:numId="15" w16cid:durableId="61213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D84"/>
    <w:rsid w:val="0015074B"/>
    <w:rsid w:val="0029639D"/>
    <w:rsid w:val="00326F90"/>
    <w:rsid w:val="003808D9"/>
    <w:rsid w:val="00AA1D8D"/>
    <w:rsid w:val="00B47730"/>
    <w:rsid w:val="00CB0664"/>
    <w:rsid w:val="00E37A7E"/>
    <w:rsid w:val="00FC693F"/>
    <w:rsid w:val="4E84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66AA5A-1C25-4F08-ABC2-78CD20DE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7"/>
      </w:numPr>
      <w:contextualSpacing/>
    </w:pPr>
  </w:style>
  <w:style w:type="paragraph" w:styleId="ListBullet2">
    <w:name w:val="List Bullet 2"/>
    <w:basedOn w:val="Normal"/>
    <w:uiPriority w:val="99"/>
    <w:unhideWhenUsed/>
    <w:rsid w:val="00326F90"/>
    <w:pPr>
      <w:numPr>
        <w:numId w:val="8"/>
      </w:numPr>
      <w:contextualSpacing/>
    </w:pPr>
  </w:style>
  <w:style w:type="paragraph" w:styleId="ListBullet3">
    <w:name w:val="List Bullet 3"/>
    <w:basedOn w:val="Normal"/>
    <w:uiPriority w:val="99"/>
    <w:unhideWhenUsed/>
    <w:rsid w:val="00326F90"/>
    <w:pPr>
      <w:numPr>
        <w:numId w:val="9"/>
      </w:numPr>
      <w:contextualSpacing/>
    </w:pPr>
  </w:style>
  <w:style w:type="paragraph" w:styleId="ListNumber">
    <w:name w:val="List Number"/>
    <w:basedOn w:val="Normal"/>
    <w:uiPriority w:val="99"/>
    <w:unhideWhenUsed/>
    <w:rsid w:val="00326F90"/>
    <w:pPr>
      <w:numPr>
        <w:numId w:val="11"/>
      </w:numPr>
      <w:contextualSpacing/>
    </w:pPr>
  </w:style>
  <w:style w:type="paragraph" w:styleId="ListNumber2">
    <w:name w:val="List Number 2"/>
    <w:basedOn w:val="Normal"/>
    <w:uiPriority w:val="99"/>
    <w:unhideWhenUsed/>
    <w:rsid w:val="0029639D"/>
    <w:pPr>
      <w:numPr>
        <w:numId w:val="12"/>
      </w:numPr>
      <w:contextualSpacing/>
    </w:pPr>
  </w:style>
  <w:style w:type="paragraph" w:styleId="ListNumber3">
    <w:name w:val="List Number 3"/>
    <w:basedOn w:val="Normal"/>
    <w:uiPriority w:val="99"/>
    <w:unhideWhenUsed/>
    <w:rsid w:val="0029639D"/>
    <w:pPr>
      <w:numPr>
        <w:numId w:val="13"/>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Thahira T M</cp:lastModifiedBy>
  <cp:revision>2</cp:revision>
  <dcterms:created xsi:type="dcterms:W3CDTF">2025-08-22T16:13:00Z</dcterms:created>
  <dcterms:modified xsi:type="dcterms:W3CDTF">2025-08-22T16:13:00Z</dcterms:modified>
  <cp:category/>
</cp:coreProperties>
</file>