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 คือการดำเนินการแปลง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[16]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 xml:space="preserve">transliteration)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B25BC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BA54B8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9B29A4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62425E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9F3AC7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0D75D6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lastRenderedPageBreak/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0D75D6">
        <w:rPr>
          <w:rFonts w:ascii="AngsanaUPC" w:hAnsi="AngsanaUPC" w:cs="AngsanaUPC"/>
          <w:sz w:val="32"/>
          <w:szCs w:val="32"/>
          <w:cs/>
        </w:rPr>
        <w:t>ชนิดด้วยกัน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B2702F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7F4B3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4575B8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A6785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F7139A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E40F1C">
        <w:rPr>
          <w:rFonts w:ascii="AngsanaUPC" w:hAnsi="AngsanaUPC" w:cs="AngsanaUPC"/>
          <w:sz w:val="32"/>
          <w:szCs w:val="32"/>
        </w:rPr>
        <w:t>[13]</w:t>
      </w:r>
    </w:p>
    <w:p w:rsidR="00404D36" w:rsidRPr="00F7139A" w:rsidRDefault="00404D36" w:rsidP="00F7139A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A63A29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924684">
        <w:rPr>
          <w:rFonts w:ascii="AngsanaUPC" w:hAnsi="AngsanaUPC" w:cs="AngsanaUPC"/>
          <w:sz w:val="32"/>
          <w:szCs w:val="32"/>
        </w:rPr>
        <w:t>[14]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[15]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FA7A9B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FA7A9B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FA7A9B">
        <w:rPr>
          <w:rFonts w:ascii="AngsanaUPC" w:hAnsi="AngsanaUPC" w:cs="AngsanaUPC"/>
          <w:sz w:val="32"/>
          <w:szCs w:val="32"/>
        </w:rPr>
        <w:t>15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300B6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2B197A" w:rsidP="00977593">
      <w:pPr>
        <w:pStyle w:val="ListParagraph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 w:rsidRPr="00977593">
        <w:rPr>
          <w:rFonts w:ascii="AngsanaUPC" w:hAnsi="AngsanaUPC" w:cs="AngsanaUPC"/>
          <w:b/>
          <w:bCs/>
          <w:sz w:val="36"/>
          <w:szCs w:val="36"/>
        </w:rPr>
        <w:lastRenderedPageBreak/>
        <w:t>2.1.4</w:t>
      </w:r>
      <w:r w:rsidRPr="00977593">
        <w:rPr>
          <w:rFonts w:ascii="AngsanaUPC" w:hAnsi="AngsanaUPC" w:cs="AngsanaUPC"/>
          <w:b/>
          <w:bCs/>
          <w:sz w:val="36"/>
          <w:szCs w:val="36"/>
        </w:rPr>
        <w:tab/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แต่การปริวรรตรูปแบบนี้ไม่ใช่การถอดเสียง ผู้ศึกษาควรศึกษาการออกเสียงเพิ่มเติม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ค 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ออกเสียงคล้าย บ </w:t>
      </w:r>
    </w:p>
    <w:p w:rsidR="00977593" w:rsidRDefault="00977593" w:rsidP="0097759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977593" w:rsidRDefault="00977593" w:rsidP="002B197A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E16A7F" w:rsidRDefault="00E16A7F" w:rsidP="00CE3379">
      <w:pPr>
        <w:pStyle w:val="ListParagraph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E16A7F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3C5DE8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0B0183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491288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Default="003C5DE8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สระแท้</w:t>
            </w:r>
          </w:p>
          <w:p w:rsidR="004D55CE" w:rsidRPr="001A799E" w:rsidRDefault="004D55CE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Default="003C5DE8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สระประสม</w:t>
            </w:r>
          </w:p>
          <w:p w:rsidR="002720E0" w:rsidRPr="001A799E" w:rsidRDefault="0019656E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  <w:t>(</w:t>
            </w:r>
            <w:proofErr w:type="spellStart"/>
            <w:r w:rsidR="003C5DE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="003C5DE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53798E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C15C53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15" w:type="pct"/>
          </w:tcPr>
          <w:p w:rsidR="009E37BD" w:rsidRPr="009E37BD" w:rsidRDefault="00C15C53" w:rsidP="009E37BD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DA5309" w:rsidRDefault="007020B5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dasyū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m̐</w:t>
            </w:r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radharā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 w:rsidR="00C15C53">
              <w:rPr>
                <w:rFonts w:ascii="AngsanaUPC" w:hAnsi="AngsanaUPC" w:cs="AngsanaUPC"/>
                <w:sz w:val="32"/>
                <w:szCs w:val="32"/>
              </w:rPr>
              <w:br/>
            </w:r>
            <w:proofErr w:type="spellStart"/>
            <w:r w:rsidR="00C15C53" w:rsidRPr="00C15C53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="00C15C53" w:rsidRPr="00C15C53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="00C15C53" w:rsidRPr="00C15C53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="00C15C53" w:rsidRPr="00C15C53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="00C15C53" w:rsidRPr="00C15C53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="00C15C53" w:rsidRPr="00C15C53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  <w:p w:rsidR="009E37BD" w:rsidRPr="007020B5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</w:tr>
      <w:tr w:rsidR="009E37BD" w:rsidRPr="007A222F" w:rsidTr="00590EDB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9E37BD" w:rsidRPr="007A222F" w:rsidRDefault="009E37BD" w:rsidP="009E37B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9E37BD" w:rsidRPr="007A222F" w:rsidRDefault="009E37BD" w:rsidP="009E37B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9E37BD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874973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9E37BD" w:rsidRPr="00F34AA4" w:rsidRDefault="009E37BD" w:rsidP="009E37B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9E37BD" w:rsidRPr="00590EDB" w:rsidRDefault="009E37BD" w:rsidP="009E37B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  <w:r w:rsidRPr="00874973">
              <w:rPr>
                <w:rFonts w:asciiTheme="majorBidi" w:hAnsiTheme="majorBidi" w:cstheme="majorBidi"/>
                <w:sz w:val="36"/>
                <w:szCs w:val="36"/>
              </w:rPr>
              <w:t>(apostrophe)</w:t>
            </w:r>
          </w:p>
        </w:tc>
        <w:tc>
          <w:tcPr>
            <w:tcW w:w="1415" w:type="pct"/>
          </w:tcPr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4973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spellStart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(double </w:t>
            </w:r>
            <w:proofErr w:type="spellStart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Pr="003B5B81" w:rsidRDefault="00023EF1" w:rsidP="00023EF1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3B5B81" w:rsidRPr="003B5B81">
        <w:rPr>
          <w:rFonts w:ascii="AngsanaUPC" w:hAnsi="AngsanaUPC" w:cs="AngsanaUPC"/>
          <w:sz w:val="32"/>
          <w:szCs w:val="32"/>
        </w:rPr>
        <w:t>[17]</w:t>
      </w:r>
    </w:p>
    <w:p w:rsidR="007020B5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3B5B81" w:rsidRPr="003B5B81">
        <w:rPr>
          <w:rFonts w:ascii="AngsanaUPC" w:hAnsi="AngsanaUPC" w:cs="AngsanaUPC"/>
          <w:sz w:val="32"/>
          <w:szCs w:val="32"/>
          <w:cs/>
        </w:rPr>
        <w:t>[17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AF6A91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E16A7F">
        <w:trPr>
          <w:trHeight w:val="453"/>
        </w:trPr>
        <w:tc>
          <w:tcPr>
            <w:tcW w:w="1658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E16A7F">
        <w:trPr>
          <w:trHeight w:val="454"/>
        </w:trPr>
        <w:tc>
          <w:tcPr>
            <w:tcW w:w="1658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AF6A91" w:rsidRPr="00AF6A91" w:rsidRDefault="00AF6A91" w:rsidP="00023EF1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AA38E3" w:rsidRDefault="00AA38E3" w:rsidP="00AA38E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E01C5B" w:rsidRDefault="00E01C5B" w:rsidP="00E01C5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3060F6" w:rsidRPr="0006066C" w:rsidRDefault="003060F6" w:rsidP="003060F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7701B1">
        <w:rPr>
          <w:rFonts w:ascii="AngsanaUPC" w:hAnsi="AngsanaUPC" w:cs="AngsanaUPC" w:hint="cs"/>
          <w:sz w:val="32"/>
          <w:szCs w:val="32"/>
          <w:cs/>
        </w:rPr>
        <w:t>ภาษาเดียวกันที่มีแบบแผนการปริวรรตที่เป็นแบบแผนและมาตรฐาน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</w:p>
    <w:p w:rsidR="00E01C5B" w:rsidRPr="00631861" w:rsidRDefault="00E01C5B" w:rsidP="0063186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631861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</w:t>
      </w:r>
      <w:r w:rsidR="00D1347A">
        <w:rPr>
          <w:rFonts w:ascii="AngsanaUPC" w:hAnsi="AngsanaUPC" w:cs="AngsanaUPC" w:hint="cs"/>
          <w:b/>
          <w:bCs/>
          <w:sz w:val="32"/>
          <w:szCs w:val="32"/>
          <w:cs/>
        </w:rPr>
        <w:t>เป็น</w:t>
      </w:r>
      <w:r w:rsidRPr="00631861">
        <w:rPr>
          <w:rFonts w:ascii="AngsanaUPC" w:hAnsi="AngsanaUPC" w:cs="AngsanaUPC"/>
          <w:b/>
          <w:bCs/>
          <w:sz w:val="32"/>
          <w:szCs w:val="32"/>
          <w:cs/>
        </w:rPr>
        <w:t>อักษร</w:t>
      </w:r>
      <w:r w:rsidR="00D1347A">
        <w:rPr>
          <w:rFonts w:ascii="AngsanaUPC" w:hAnsi="AngsanaUPC" w:cs="AngsanaUPC" w:hint="cs"/>
          <w:b/>
          <w:bCs/>
          <w:sz w:val="32"/>
          <w:szCs w:val="32"/>
          <w:cs/>
        </w:rPr>
        <w:t>ไทย</w:t>
      </w:r>
      <w:r w:rsidRPr="00631861">
        <w:rPr>
          <w:rFonts w:ascii="AngsanaUPC" w:hAnsi="AngsanaUPC" w:cs="AngsanaUPC"/>
          <w:b/>
          <w:bCs/>
          <w:sz w:val="32"/>
          <w:szCs w:val="32"/>
          <w:cs/>
        </w:rPr>
        <w:t>แบบคงรูป หรือ แบบแผน</w:t>
      </w:r>
    </w:p>
    <w:p w:rsidR="004640EC" w:rsidRDefault="004640EC" w:rsidP="009F4CF9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การถอดรูปสระ</w:t>
      </w:r>
    </w:p>
    <w:p w:rsidR="0050684F" w:rsidRDefault="003D55F0" w:rsidP="00441A30">
      <w:pPr>
        <w:pStyle w:val="ListParagraph"/>
        <w:numPr>
          <w:ilvl w:val="1"/>
          <w:numId w:val="4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ดรูปสระอักษรโรมันทุกตัว ยกเว้น </w:t>
      </w:r>
      <w:r w:rsidR="0050684F"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 เช่น </w:t>
      </w:r>
      <w:proofErr w:type="spellStart"/>
      <w:r w:rsidRPr="0050684F">
        <w:rPr>
          <w:rFonts w:asciiTheme="majorHAnsi" w:hAnsiTheme="majorHAnsi" w:cs="AngsanaUPC"/>
          <w:sz w:val="28"/>
        </w:rPr>
        <w:t>bhagavadg</w:t>
      </w:r>
      <w:r w:rsidRPr="0050684F">
        <w:rPr>
          <w:rFonts w:asciiTheme="majorHAnsi" w:hAnsiTheme="majorHAnsi" w:cs="Cambria"/>
          <w:sz w:val="28"/>
        </w:rPr>
        <w:t>ī</w:t>
      </w:r>
      <w:r w:rsidRPr="0050684F">
        <w:rPr>
          <w:rFonts w:asciiTheme="majorHAnsi" w:hAnsiTheme="majorHAnsi" w:cs="AngsanaUPC"/>
          <w:sz w:val="28"/>
        </w:rPr>
        <w:t>t</w:t>
      </w:r>
      <w:r w:rsidRPr="0050684F">
        <w:rPr>
          <w:rFonts w:asciiTheme="majorHAnsi" w:hAnsiTheme="majorHAnsi" w:cs="Cambria"/>
          <w:sz w:val="28"/>
        </w:rPr>
        <w:t>ā</w:t>
      </w:r>
      <w:proofErr w:type="spellEnd"/>
      <w:r w:rsidRPr="003D55F0">
        <w:rPr>
          <w:rFonts w:ascii="AngsanaUPC" w:hAnsi="AngsanaUPC" w:cs="AngsanaUPC"/>
          <w:sz w:val="32"/>
          <w:szCs w:val="32"/>
        </w:rPr>
        <w:t xml:space="preserve"> : </w:t>
      </w:r>
      <w:proofErr w:type="spellStart"/>
      <w:r w:rsidRPr="003D55F0">
        <w:rPr>
          <w:rFonts w:ascii="AngsanaUPC" w:hAnsi="AngsanaUPC" w:cs="AngsanaUPC"/>
          <w:sz w:val="32"/>
          <w:szCs w:val="32"/>
          <w:cs/>
        </w:rPr>
        <w:t>ภควทฺคี</w:t>
      </w:r>
      <w:proofErr w:type="spellEnd"/>
      <w:r w:rsidRPr="003D55F0">
        <w:rPr>
          <w:rFonts w:ascii="AngsanaUPC" w:hAnsi="AngsanaUPC" w:cs="AngsanaUPC"/>
          <w:sz w:val="32"/>
          <w:szCs w:val="32"/>
          <w:cs/>
        </w:rPr>
        <w:t>ตา</w:t>
      </w:r>
    </w:p>
    <w:p w:rsidR="00D1347A" w:rsidRPr="00D1347A" w:rsidRDefault="00D1347A" w:rsidP="00DD2BC4">
      <w:pPr>
        <w:pStyle w:val="ListParagraph"/>
        <w:numPr>
          <w:ilvl w:val="1"/>
          <w:numId w:val="45"/>
        </w:numPr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</w:p>
    <w:p w:rsidR="004640EC" w:rsidRPr="00441A30" w:rsidRDefault="004640EC" w:rsidP="00E07593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ยกเว้นไว้แต่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</w:p>
    <w:p w:rsidR="007701B1" w:rsidRDefault="004640EC" w:rsidP="009F4CF9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 w:rsidR="00631861"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631861" w:rsidRDefault="00631861" w:rsidP="007701B1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631861">
        <w:rPr>
          <w:rFonts w:ascii="AngsanaUPC" w:hAnsi="AngsanaUPC" w:cs="AngsanaUPC"/>
          <w:sz w:val="32"/>
          <w:szCs w:val="32"/>
          <w:cs/>
        </w:rPr>
        <w:t xml:space="preserve"> เช่น</w:t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631861">
        <w:rPr>
          <w:rFonts w:asciiTheme="majorHAnsi" w:hAnsiTheme="majorHAnsi" w:cs="Cambria"/>
          <w:sz w:val="28"/>
        </w:rPr>
        <w:t>ś</w:t>
      </w:r>
      <w:r w:rsidRPr="00631861">
        <w:rPr>
          <w:rFonts w:asciiTheme="majorHAnsi" w:hAnsiTheme="majorHAnsi" w:cs="AngsanaUPC"/>
          <w:sz w:val="28"/>
        </w:rPr>
        <w:t>rutv</w:t>
      </w:r>
      <w:r w:rsidRPr="00631861">
        <w:rPr>
          <w:rFonts w:asciiTheme="majorHAnsi" w:hAnsiTheme="majorHAnsi" w:cs="Cambria"/>
          <w:sz w:val="28"/>
        </w:rPr>
        <w:t>ā</w:t>
      </w:r>
      <w:proofErr w:type="spellEnd"/>
      <w:r w:rsidR="009F4CF9">
        <w:rPr>
          <w:rFonts w:ascii="AngsanaUPC" w:hAnsi="AngsanaUPC" w:cs="AngsanaUPC"/>
          <w:sz w:val="32"/>
          <w:szCs w:val="32"/>
        </w:rPr>
        <w:t xml:space="preserve"> : </w:t>
      </w:r>
      <w:proofErr w:type="spellStart"/>
      <w:r w:rsidR="009F4CF9" w:rsidRPr="009F4CF9">
        <w:rPr>
          <w:rFonts w:ascii="AngsanaUPC" w:hAnsi="AngsanaUPC" w:cs="AngsanaUPC"/>
          <w:sz w:val="32"/>
          <w:szCs w:val="32"/>
          <w:cs/>
        </w:rPr>
        <w:t>ศฺรุตฺ</w:t>
      </w:r>
      <w:proofErr w:type="spellEnd"/>
      <w:r w:rsidR="009F4CF9" w:rsidRPr="009F4CF9">
        <w:rPr>
          <w:rFonts w:ascii="AngsanaUPC" w:hAnsi="AngsanaUPC" w:cs="AngsanaUPC"/>
          <w:sz w:val="32"/>
          <w:szCs w:val="32"/>
          <w:cs/>
        </w:rPr>
        <w:t>วา</w:t>
      </w:r>
    </w:p>
    <w:p w:rsidR="007701B1" w:rsidRDefault="00F954D2" w:rsidP="004640E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4640EC" w:rsidRPr="00C21B6E">
        <w:rPr>
          <w:rFonts w:ascii="AngsanaUPC" w:hAnsi="AngsanaUPC" w:cs="AngsanaUPC"/>
          <w:sz w:val="32"/>
          <w:szCs w:val="32"/>
          <w:cs/>
        </w:rPr>
        <w:t xml:space="preserve">เช่น </w:t>
      </w:r>
      <w:proofErr w:type="spellStart"/>
      <w:r w:rsidR="004640EC" w:rsidRPr="00C21B6E">
        <w:rPr>
          <w:rFonts w:asciiTheme="majorHAnsi" w:hAnsiTheme="majorHAnsi" w:cs="AngsanaUPC"/>
          <w:sz w:val="28"/>
        </w:rPr>
        <w:t>m</w:t>
      </w:r>
      <w:r w:rsidR="004640EC" w:rsidRPr="00C21B6E">
        <w:rPr>
          <w:rFonts w:asciiTheme="majorHAnsi" w:hAnsiTheme="majorHAnsi" w:cs="Cambria"/>
          <w:sz w:val="28"/>
        </w:rPr>
        <w:t>ṛ</w:t>
      </w:r>
      <w:r w:rsidR="004640EC" w:rsidRPr="00C21B6E">
        <w:rPr>
          <w:rFonts w:asciiTheme="majorHAnsi" w:hAnsiTheme="majorHAnsi" w:cs="AngsanaUPC"/>
          <w:sz w:val="28"/>
        </w:rPr>
        <w:t>ga</w:t>
      </w:r>
      <w:proofErr w:type="spellEnd"/>
      <w:r w:rsidR="004640EC" w:rsidRPr="00C21B6E">
        <w:rPr>
          <w:rFonts w:ascii="AngsanaUPC" w:hAnsi="AngsanaUPC" w:cs="AngsanaUPC"/>
          <w:sz w:val="32"/>
          <w:szCs w:val="32"/>
        </w:rPr>
        <w:t xml:space="preserve"> </w:t>
      </w:r>
      <w:r w:rsidR="004640EC">
        <w:rPr>
          <w:rFonts w:ascii="AngsanaUPC" w:hAnsi="AngsanaUPC" w:cs="AngsanaUPC"/>
          <w:sz w:val="32"/>
          <w:szCs w:val="32"/>
        </w:rPr>
        <w:t xml:space="preserve">: </w:t>
      </w:r>
      <w:r w:rsidR="004640EC">
        <w:rPr>
          <w:rFonts w:ascii="AngsanaUPC" w:hAnsi="AngsanaUPC" w:cs="AngsanaUPC"/>
          <w:sz w:val="32"/>
          <w:szCs w:val="32"/>
          <w:cs/>
        </w:rPr>
        <w:t>ม</w:t>
      </w:r>
      <w:r w:rsidR="004640EC" w:rsidRPr="00C21B6E">
        <w:rPr>
          <w:rFonts w:ascii="AngsanaUPC" w:hAnsi="AngsanaUPC" w:cs="AngsanaUPC"/>
          <w:sz w:val="32"/>
          <w:szCs w:val="32"/>
          <w:cs/>
        </w:rPr>
        <w:t>ฤค</w:t>
      </w:r>
    </w:p>
    <w:p w:rsidR="002A6A1A" w:rsidRDefault="00E666A2" w:rsidP="009E37BD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7875EF" w:rsidRDefault="00E060DC" w:rsidP="007875EF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7875EF">
        <w:rPr>
          <w:rFonts w:ascii="AngsanaUPC" w:hAnsi="AngsanaUPC" w:cs="AngsanaUPC"/>
          <w:sz w:val="32"/>
          <w:szCs w:val="32"/>
          <w:cs/>
        </w:rPr>
        <w:t>เครื</w:t>
      </w:r>
      <w:r w:rsidR="007875EF">
        <w:rPr>
          <w:rFonts w:ascii="AngsanaUPC" w:hAnsi="AngsanaUPC" w:cs="AngsanaUPC" w:hint="cs"/>
          <w:sz w:val="32"/>
          <w:szCs w:val="32"/>
          <w:cs/>
        </w:rPr>
        <w:t>่</w:t>
      </w:r>
      <w:r w:rsidR="007875EF">
        <w:rPr>
          <w:rFonts w:ascii="AngsanaUPC" w:hAnsi="AngsanaUPC" w:cs="AngsanaUPC"/>
          <w:sz w:val="32"/>
          <w:szCs w:val="32"/>
          <w:cs/>
        </w:rPr>
        <w:t>องหมาย</w:t>
      </w:r>
      <w:r w:rsidR="0087497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A222F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7875EF">
        <w:rPr>
          <w:rFonts w:ascii="AngsanaUPC" w:hAnsi="AngsanaUPC" w:cs="AngsanaUPC"/>
          <w:sz w:val="32"/>
          <w:szCs w:val="32"/>
          <w:cs/>
        </w:rPr>
        <w:t xml:space="preserve"> </w:t>
      </w:r>
      <w:r w:rsidR="00B224D4">
        <w:rPr>
          <w:rFonts w:ascii="AngsanaUPC" w:hAnsi="AngsanaUPC" w:cs="AngsanaUPC" w:hint="cs"/>
          <w:sz w:val="32"/>
          <w:szCs w:val="32"/>
          <w:cs/>
        </w:rPr>
        <w:t>(</w:t>
      </w:r>
      <w:r w:rsidR="007875EF" w:rsidRPr="007875EF">
        <w:rPr>
          <w:rFonts w:ascii="AngsanaUPC" w:hAnsi="AngsanaUPC" w:cs="AngsanaUPC"/>
          <w:sz w:val="32"/>
          <w:szCs w:val="32"/>
          <w:cs/>
        </w:rPr>
        <w:t>ทัณฑะ</w:t>
      </w:r>
      <w:r w:rsidR="00B224D4">
        <w:rPr>
          <w:rFonts w:ascii="AngsanaUPC" w:hAnsi="AngsanaUPC" w:cs="AngsanaUPC" w:hint="cs"/>
          <w:sz w:val="32"/>
          <w:szCs w:val="32"/>
          <w:cs/>
        </w:rPr>
        <w:t>)</w:t>
      </w:r>
      <w:r w:rsidR="007875EF">
        <w:rPr>
          <w:rFonts w:ascii="AngsanaUPC" w:hAnsi="AngsanaUPC" w:cs="AngsanaUPC"/>
          <w:sz w:val="32"/>
          <w:szCs w:val="32"/>
        </w:rPr>
        <w:t xml:space="preserve"> </w:t>
      </w:r>
      <w:r w:rsidR="00B224D4" w:rsidRPr="007A222F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="00B224D4" w:rsidRPr="007A222F">
        <w:rPr>
          <w:rFonts w:ascii="AngsanaUPC" w:hAnsi="AngsanaUPC" w:cs="AngsanaUPC"/>
          <w:sz w:val="32"/>
          <w:szCs w:val="32"/>
          <w:cs/>
        </w:rPr>
        <w:t xml:space="preserve"> </w:t>
      </w:r>
      <w:r w:rsidR="00B224D4">
        <w:rPr>
          <w:rFonts w:ascii="AngsanaUPC" w:hAnsi="AngsanaUPC" w:cs="AngsanaUPC" w:hint="cs"/>
          <w:sz w:val="32"/>
          <w:szCs w:val="32"/>
          <w:cs/>
        </w:rPr>
        <w:t>(</w:t>
      </w:r>
      <w:r w:rsidR="007875EF" w:rsidRPr="007A222F">
        <w:rPr>
          <w:rFonts w:ascii="AngsanaUPC" w:hAnsi="AngsanaUPC" w:cs="AngsanaUPC"/>
          <w:sz w:val="32"/>
          <w:szCs w:val="32"/>
          <w:cs/>
        </w:rPr>
        <w:t>ทวิทัณฑะ</w:t>
      </w:r>
      <w:r w:rsidR="00B224D4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874973">
        <w:rPr>
          <w:rFonts w:ascii="AngsanaUPC" w:hAnsi="AngsanaUPC" w:cs="AngsanaUPC"/>
          <w:sz w:val="32"/>
          <w:szCs w:val="32"/>
        </w:rPr>
        <w:t xml:space="preserve"> </w:t>
      </w:r>
      <w:r w:rsidR="00874973">
        <w:rPr>
          <w:rFonts w:ascii="AngsanaUPC" w:hAnsi="AngsanaUPC" w:cs="AngsanaUPC" w:hint="cs"/>
          <w:sz w:val="32"/>
          <w:szCs w:val="32"/>
          <w:cs/>
        </w:rPr>
        <w:t xml:space="preserve">เมื่อถอดแล้วไว้ตำแหน่งเดิม </w:t>
      </w:r>
      <w:r w:rsidR="00C53E4C">
        <w:rPr>
          <w:rFonts w:ascii="AngsanaUPC" w:hAnsi="AngsanaUPC" w:cs="AngsanaUPC" w:hint="cs"/>
          <w:sz w:val="32"/>
          <w:szCs w:val="32"/>
          <w:cs/>
        </w:rPr>
        <w:t>บ้างก็ไม่</w:t>
      </w:r>
      <w:r w:rsidR="00874973">
        <w:rPr>
          <w:rFonts w:ascii="AngsanaUPC" w:hAnsi="AngsanaUPC" w:cs="AngsanaUPC" w:hint="cs"/>
          <w:sz w:val="32"/>
          <w:szCs w:val="32"/>
          <w:cs/>
        </w:rPr>
        <w:t>ถอด</w:t>
      </w:r>
      <w:r w:rsidR="00B224D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4973">
        <w:rPr>
          <w:rFonts w:ascii="AngsanaUPC" w:hAnsi="AngsanaUPC" w:cs="AngsanaUPC" w:hint="cs"/>
          <w:sz w:val="32"/>
          <w:szCs w:val="32"/>
          <w:cs/>
        </w:rPr>
        <w:t>ใช้รูปเดิม</w:t>
      </w:r>
    </w:p>
    <w:p w:rsidR="00B224D4" w:rsidRDefault="00B224D4" w:rsidP="00B224D4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B224D4" w:rsidRDefault="005414B3" w:rsidP="00AD655E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B02FBD">
        <w:rPr>
          <w:rFonts w:ascii="AngsanaUPC" w:hAnsi="AngsanaUPC" w:cs="AngsanaUPC" w:hint="cs"/>
          <w:sz w:val="32"/>
          <w:szCs w:val="32"/>
          <w:cs/>
        </w:rPr>
        <w:t>อักษร</w:t>
      </w:r>
      <w:r w:rsidR="00B02FBD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B02FBD">
        <w:rPr>
          <w:rFonts w:ascii="AngsanaUPC" w:hAnsi="AngsanaUPC" w:cs="AngsanaUPC" w:hint="cs"/>
          <w:sz w:val="32"/>
          <w:szCs w:val="32"/>
          <w:cs/>
        </w:rPr>
        <w:t>ใช้</w:t>
      </w:r>
      <w:r w:rsidR="00B02FBD">
        <w:rPr>
          <w:rFonts w:ascii="AngsanaUPC" w:hAnsi="AngsanaUPC" w:cs="AngsanaUPC"/>
          <w:sz w:val="32"/>
          <w:szCs w:val="32"/>
        </w:rPr>
        <w:t xml:space="preserve"> </w:t>
      </w:r>
      <w:r w:rsidR="00B02FBD">
        <w:rPr>
          <w:rFonts w:ascii="AngsanaUPC" w:hAnsi="AngsanaUPC" w:cs="AngsanaUPC"/>
          <w:sz w:val="32"/>
          <w:szCs w:val="32"/>
        </w:rPr>
        <w:t xml:space="preserve"> </w:t>
      </w:r>
      <w:r w:rsidR="00B02FBD" w:rsidRPr="007A222F">
        <w:rPr>
          <w:rFonts w:asciiTheme="majorHAnsi" w:hAnsiTheme="majorHAnsi" w:cs="Cambria"/>
          <w:sz w:val="32"/>
          <w:szCs w:val="32"/>
        </w:rPr>
        <w:t>ḥ</w:t>
      </w:r>
      <w:r w:rsidR="00B02FB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02FBD">
        <w:rPr>
          <w:rFonts w:ascii="AngsanaUPC" w:hAnsi="AngsanaUPC" w:cs="AngsanaUPC"/>
          <w:sz w:val="32"/>
          <w:szCs w:val="32"/>
        </w:rPr>
        <w:t xml:space="preserve"> </w:t>
      </w:r>
      <w:r w:rsidR="00AD655E">
        <w:rPr>
          <w:rFonts w:ascii="AngsanaUPC" w:hAnsi="AngsanaUPC" w:cs="AngsanaUPC" w:hint="cs"/>
          <w:sz w:val="32"/>
          <w:szCs w:val="32"/>
          <w:cs/>
        </w:rPr>
        <w:t>มี</w:t>
      </w:r>
      <w:r w:rsidR="00161C5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61C5C">
        <w:rPr>
          <w:rFonts w:ascii="AngsanaUPC" w:hAnsi="AngsanaUPC" w:cs="AngsanaUPC"/>
          <w:sz w:val="32"/>
          <w:szCs w:val="32"/>
        </w:rPr>
        <w:t xml:space="preserve">2 </w:t>
      </w:r>
      <w:r w:rsidR="00AD655E">
        <w:rPr>
          <w:rFonts w:ascii="AngsanaUPC" w:hAnsi="AngsanaUPC" w:cs="AngsanaUPC" w:hint="cs"/>
          <w:sz w:val="32"/>
          <w:szCs w:val="32"/>
          <w:cs/>
        </w:rPr>
        <w:t>แนวคิด</w:t>
      </w:r>
      <w:r w:rsidR="00AD655E">
        <w:rPr>
          <w:rFonts w:ascii="AngsanaUPC" w:hAnsi="AngsanaUPC" w:cs="AngsanaUPC"/>
          <w:sz w:val="32"/>
          <w:szCs w:val="32"/>
        </w:rPr>
        <w:t xml:space="preserve"> </w:t>
      </w:r>
      <w:r w:rsidR="00AD655E"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="00AD655E"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 w:rsidR="00AD655E">
        <w:rPr>
          <w:rFonts w:ascii="AngsanaUPC" w:hAnsi="AngsanaUPC" w:cs="AngsanaUPC" w:hint="cs"/>
          <w:sz w:val="32"/>
          <w:szCs w:val="32"/>
          <w:cs/>
        </w:rPr>
        <w:t>(</w:t>
      </w:r>
      <w:r w:rsidR="00AD655E" w:rsidRPr="009E37BD">
        <w:rPr>
          <w:rFonts w:ascii="AngsanaUPC" w:hAnsi="AngsanaUPC" w:cs="AngsanaUPC"/>
          <w:sz w:val="32"/>
          <w:szCs w:val="32"/>
          <w:cs/>
        </w:rPr>
        <w:t>ะ</w:t>
      </w:r>
      <w:r w:rsidR="00AD655E">
        <w:rPr>
          <w:rFonts w:ascii="AngsanaUPC" w:hAnsi="AngsanaUPC" w:cs="AngsanaUPC" w:hint="cs"/>
          <w:sz w:val="32"/>
          <w:szCs w:val="32"/>
          <w:cs/>
        </w:rPr>
        <w:t>)</w:t>
      </w:r>
      <w:r w:rsidR="00AD655E">
        <w:rPr>
          <w:rFonts w:ascii="AngsanaUPC" w:hAnsi="AngsanaUPC" w:cs="AngsanaUPC"/>
          <w:sz w:val="32"/>
          <w:szCs w:val="32"/>
        </w:rPr>
        <w:t xml:space="preserve"> </w:t>
      </w:r>
      <w:r w:rsidR="00AD655E">
        <w:rPr>
          <w:rFonts w:ascii="AngsanaUPC" w:hAnsi="AngsanaUPC" w:cs="AngsanaUPC" w:hint="cs"/>
          <w:sz w:val="32"/>
          <w:szCs w:val="32"/>
          <w:cs/>
        </w:rPr>
        <w:t xml:space="preserve">และ อักษร ห </w:t>
      </w:r>
      <w:proofErr w:type="spellStart"/>
      <w:r w:rsidR="00AD655E">
        <w:rPr>
          <w:rFonts w:ascii="AngsanaUPC" w:hAnsi="AngsanaUPC" w:cs="AngsanaUPC" w:hint="cs"/>
          <w:sz w:val="32"/>
          <w:szCs w:val="32"/>
          <w:cs/>
        </w:rPr>
        <w:t>ใส่</w:t>
      </w:r>
      <w:r w:rsidR="00AD655E"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="00AD655E" w:rsidRPr="00AD655E">
        <w:rPr>
          <w:rFonts w:ascii="AngsanaUPC" w:hAnsi="AngsanaUPC" w:cs="AngsanaUPC"/>
          <w:sz w:val="32"/>
          <w:szCs w:val="32"/>
          <w:cs/>
        </w:rPr>
        <w:t>ฆาต</w:t>
      </w:r>
      <w:r w:rsidR="00AD655E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="00AD655E">
        <w:rPr>
          <w:rFonts w:ascii="AngsanaUPC" w:hAnsi="AngsanaUPC" w:cs="AngsanaUPC"/>
          <w:sz w:val="32"/>
          <w:szCs w:val="32"/>
        </w:rPr>
        <w:t>(</w:t>
      </w:r>
      <w:proofErr w:type="spellStart"/>
      <w:r w:rsidR="00AD655E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AD655E">
        <w:rPr>
          <w:rFonts w:ascii="AngsanaUPC" w:hAnsi="AngsanaUPC" w:cs="AngsanaUPC"/>
          <w:sz w:val="32"/>
          <w:szCs w:val="32"/>
        </w:rPr>
        <w:t>)</w:t>
      </w:r>
      <w:r w:rsidR="00B02FBD">
        <w:rPr>
          <w:rFonts w:ascii="AngsanaUPC" w:hAnsi="AngsanaUPC" w:cs="AngsanaUPC"/>
          <w:sz w:val="32"/>
          <w:szCs w:val="32"/>
        </w:rPr>
        <w:t xml:space="preserve"> </w:t>
      </w:r>
      <w:r w:rsidR="00B02FBD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</w:t>
      </w:r>
      <w:r w:rsidR="000D306C">
        <w:rPr>
          <w:rFonts w:ascii="AngsanaUPC" w:hAnsi="AngsanaUPC" w:cs="AngsanaUPC"/>
          <w:sz w:val="32"/>
          <w:szCs w:val="32"/>
        </w:rPr>
        <w:t xml:space="preserve"> </w:t>
      </w:r>
      <w:r w:rsidR="000D306C">
        <w:rPr>
          <w:rFonts w:ascii="AngsanaUPC" w:hAnsi="AngsanaUPC" w:cs="AngsanaUPC" w:hint="cs"/>
          <w:sz w:val="32"/>
          <w:szCs w:val="32"/>
          <w:cs/>
        </w:rPr>
        <w:t>มักอยู่</w:t>
      </w:r>
      <w:bookmarkStart w:id="0" w:name="_GoBack"/>
      <w:bookmarkEnd w:id="0"/>
      <w:r w:rsidR="000D306C">
        <w:rPr>
          <w:rFonts w:ascii="AngsanaUPC" w:hAnsi="AngsanaUPC" w:cs="AngsanaUPC" w:hint="cs"/>
          <w:sz w:val="32"/>
          <w:szCs w:val="32"/>
          <w:cs/>
        </w:rPr>
        <w:t>หลังสระอักษร</w:t>
      </w:r>
      <w:r w:rsidR="000D306C" w:rsidRPr="00631861">
        <w:rPr>
          <w:rFonts w:ascii="AngsanaUPC" w:hAnsi="AngsanaUPC" w:cs="AngsanaUPC"/>
          <w:sz w:val="32"/>
          <w:szCs w:val="32"/>
          <w:cs/>
        </w:rPr>
        <w:t>โรมัน</w:t>
      </w:r>
    </w:p>
    <w:p w:rsidR="00AD655E" w:rsidRPr="00161C5C" w:rsidRDefault="00AD655E" w:rsidP="00161C5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666A2">
        <w:rPr>
          <w:rFonts w:ascii="AngsanaUPC" w:hAnsi="AngsanaUPC" w:cs="AngsanaUPC" w:hint="cs"/>
          <w:sz w:val="32"/>
          <w:szCs w:val="32"/>
          <w:cs/>
        </w:rPr>
        <w:t>อักษร</w:t>
      </w:r>
      <w:r w:rsidR="00E666A2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666A2">
        <w:rPr>
          <w:rFonts w:ascii="AngsanaUPC" w:hAnsi="AngsanaUPC" w:cs="AngsanaUPC" w:hint="cs"/>
          <w:sz w:val="32"/>
          <w:szCs w:val="32"/>
          <w:cs/>
        </w:rPr>
        <w:t>ใช้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 w:rsidRPr="007A222F">
        <w:rPr>
          <w:rFonts w:asciiTheme="majorHAnsi" w:hAnsiTheme="majorHAnsi" w:cs="AngsanaUPC"/>
          <w:sz w:val="32"/>
          <w:szCs w:val="32"/>
        </w:rPr>
        <w:t>m</w:t>
      </w:r>
      <w:r w:rsidR="00E666A2" w:rsidRPr="007A222F">
        <w:rPr>
          <w:rFonts w:asciiTheme="majorHAnsi" w:hAnsiTheme="majorHAnsi" w:cs="Times New Roman"/>
          <w:sz w:val="32"/>
          <w:szCs w:val="32"/>
        </w:rPr>
        <w:t>̐</w:t>
      </w:r>
      <w:r w:rsidR="00E666A2" w:rsidRPr="007A222F">
        <w:rPr>
          <w:rFonts w:asciiTheme="majorHAnsi" w:hAnsiTheme="majorHAnsi" w:cs="AngsanaUPC"/>
          <w:sz w:val="32"/>
          <w:szCs w:val="32"/>
        </w:rPr>
        <w:t xml:space="preserve"> </w:t>
      </w:r>
      <w:r w:rsidR="00161C5C">
        <w:rPr>
          <w:rFonts w:ascii="AngsanaUPC" w:hAnsi="AngsanaUPC" w:cs="AngsanaUPC" w:hint="cs"/>
          <w:sz w:val="32"/>
          <w:szCs w:val="32"/>
          <w:cs/>
        </w:rPr>
        <w:t>มี</w:t>
      </w:r>
      <w:r w:rsidR="00161C5C">
        <w:rPr>
          <w:rFonts w:ascii="AngsanaUPC" w:hAnsi="AngsanaUPC" w:cs="AngsanaUPC"/>
          <w:sz w:val="32"/>
          <w:szCs w:val="32"/>
        </w:rPr>
        <w:t xml:space="preserve"> 3</w:t>
      </w:r>
      <w:r w:rsidR="00161C5C"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 w:rsidR="00161C5C">
        <w:rPr>
          <w:rFonts w:ascii="AngsanaUPC" w:hAnsi="AngsanaUPC" w:cs="AngsanaUPC"/>
          <w:sz w:val="32"/>
          <w:szCs w:val="32"/>
        </w:rPr>
        <w:t xml:space="preserve"> </w:t>
      </w:r>
      <w:r w:rsidR="00161C5C"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161C5C"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 w:rsidR="00161C5C">
        <w:rPr>
          <w:rFonts w:ascii="AngsanaUPC" w:hAnsi="AngsanaUPC" w:cs="AngsanaUPC"/>
          <w:sz w:val="32"/>
          <w:szCs w:val="32"/>
        </w:rPr>
        <w:t xml:space="preserve"> </w:t>
      </w:r>
      <w:r w:rsidR="00161C5C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161C5C"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 w:rsidR="00161C5C">
        <w:rPr>
          <w:rFonts w:ascii="AngsanaUPC" w:hAnsi="AngsanaUPC" w:cs="AngsanaUPC"/>
          <w:sz w:val="32"/>
          <w:szCs w:val="32"/>
        </w:rPr>
        <w:t xml:space="preserve"> </w:t>
      </w:r>
      <w:r w:rsidR="00161C5C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61C5C"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="00161C5C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161C5C" w:rsidRPr="007A222F">
        <w:rPr>
          <w:rFonts w:ascii="AngsanaUPC" w:hAnsi="AngsanaUPC" w:cs="AngsanaUPC"/>
          <w:sz w:val="32"/>
          <w:szCs w:val="32"/>
          <w:cs/>
        </w:rPr>
        <w:t>ทุ</w:t>
      </w:r>
      <w:r w:rsidR="00161C5C"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 w:rsidR="00161C5C">
        <w:rPr>
          <w:rFonts w:ascii="AngsanaUPC" w:eastAsia="Arial Unicode MS" w:hAnsi="AngsanaUPC" w:cs="AngsanaUPC"/>
          <w:sz w:val="32"/>
          <w:szCs w:val="32"/>
        </w:rPr>
        <w:t>(</w:t>
      </w:r>
      <w:r w:rsidR="000D306C">
        <w:rPr>
          <w:rFonts w:ascii="AngsanaUPC" w:eastAsia="Arial Unicode MS" w:hAnsi="AngsanaUPC" w:cs="AngsanaUPC"/>
          <w:sz w:val="32"/>
          <w:szCs w:val="32"/>
        </w:rPr>
        <w:t xml:space="preserve">  </w:t>
      </w:r>
      <w:r w:rsidR="000D306C"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 w:rsidR="000D306C"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 w:rsidR="000D306C">
        <w:rPr>
          <w:rFonts w:ascii="AngsanaUPC" w:eastAsia="Arial Unicode MS" w:hAnsi="AngsanaUPC" w:cs="AngsanaUPC"/>
          <w:sz w:val="32"/>
          <w:szCs w:val="32"/>
        </w:rPr>
        <w:t xml:space="preserve"> : </w:t>
      </w:r>
      <w:r w:rsidR="00E666A2"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 w:rsidR="00161C5C"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 w:rsidR="00161C5C">
        <w:rPr>
          <w:rFonts w:ascii="AngsanaUPC" w:eastAsia="Arial Unicode MS" w:hAnsi="AngsanaUPC" w:cs="AngsanaUPC"/>
          <w:sz w:val="32"/>
          <w:szCs w:val="32"/>
        </w:rPr>
        <w:t>)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</w:t>
      </w:r>
      <w:r w:rsidR="000D306C">
        <w:rPr>
          <w:rFonts w:ascii="AngsanaUPC" w:hAnsi="AngsanaUPC" w:cs="AngsanaUPC" w:hint="cs"/>
          <w:sz w:val="32"/>
          <w:szCs w:val="32"/>
          <w:cs/>
        </w:rPr>
        <w:t>อักษร</w:t>
      </w:r>
      <w:r w:rsidR="000D306C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="00E666A2" w:rsidRPr="00631861">
        <w:rPr>
          <w:rFonts w:asciiTheme="majorHAnsi" w:hAnsiTheme="majorHAnsi" w:cs="Cambria"/>
          <w:sz w:val="28"/>
        </w:rPr>
        <w:t>ā</w:t>
      </w:r>
      <w:r w:rsidR="00E666A2">
        <w:rPr>
          <w:rFonts w:asciiTheme="majorHAnsi" w:hAnsiTheme="majorHAnsi" w:hint="cs"/>
          <w:sz w:val="28"/>
          <w:cs/>
        </w:rPr>
        <w:t xml:space="preserve"> </w:t>
      </w:r>
      <w:r w:rsidR="00E666A2" w:rsidRPr="00E666A2">
        <w:rPr>
          <w:rFonts w:ascii="AngsanaUPC" w:hAnsi="AngsanaUPC" w:cs="AngsanaUPC"/>
          <w:sz w:val="32"/>
          <w:szCs w:val="32"/>
        </w:rPr>
        <w:t>(</w:t>
      </w:r>
      <w:r w:rsidR="00E666A2"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="00E666A2" w:rsidRPr="00E666A2">
        <w:rPr>
          <w:rFonts w:ascii="AngsanaUPC" w:hAnsi="AngsanaUPC" w:cs="AngsanaUPC"/>
          <w:sz w:val="32"/>
          <w:szCs w:val="32"/>
        </w:rPr>
        <w:t>)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="00E666A2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E666A2" w:rsidRPr="007A222F">
        <w:rPr>
          <w:rFonts w:ascii="AngsanaUPC" w:hAnsi="AngsanaUPC" w:cs="AngsanaUPC"/>
          <w:sz w:val="32"/>
          <w:szCs w:val="32"/>
          <w:cs/>
        </w:rPr>
        <w:t>ทุ</w:t>
      </w:r>
      <w:r w:rsidR="00E666A2">
        <w:rPr>
          <w:rFonts w:ascii="AngsanaUPC" w:hAnsi="AngsanaUPC" w:cs="AngsanaUPC" w:hint="cs"/>
          <w:sz w:val="32"/>
          <w:szCs w:val="32"/>
          <w:cs/>
        </w:rPr>
        <w:t>ก่อน</w:t>
      </w:r>
    </w:p>
    <w:p w:rsidR="00161C5C" w:rsidRPr="00631861" w:rsidRDefault="00161C5C" w:rsidP="00161C5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044CDE" w:rsidRPr="00300B63" w:rsidRDefault="00044CDE" w:rsidP="00E01C5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br/>
      </w:r>
    </w:p>
    <w:p w:rsidR="00044CDE" w:rsidRPr="00044CDE" w:rsidRDefault="00044CDE" w:rsidP="000C45D8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  <w:cs/>
        </w:rPr>
      </w:pPr>
    </w:p>
    <w:p w:rsidR="002B197A" w:rsidRPr="002B197A" w:rsidRDefault="002B197A" w:rsidP="002B197A">
      <w:pPr>
        <w:rPr>
          <w:rFonts w:ascii="AngsanaUPC" w:hAnsi="AngsanaUPC" w:cs="AngsanaUPC"/>
          <w:b/>
          <w:bCs/>
          <w:sz w:val="40"/>
          <w:szCs w:val="40"/>
        </w:rPr>
      </w:pPr>
      <w:r w:rsidRPr="002B197A">
        <w:rPr>
          <w:rFonts w:ascii="AngsanaUPC" w:hAnsi="AngsanaUPC" w:cs="AngsanaUPC"/>
          <w:b/>
          <w:bCs/>
          <w:sz w:val="40"/>
          <w:szCs w:val="40"/>
        </w:rPr>
        <w:t>2.1.4</w:t>
      </w:r>
      <w:r w:rsidRPr="002B197A"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D961E6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Machine Translation) 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คู่ภาษาและสร้างรูปประโยคของภาษาเป้าหมายออกมา ข้อจำกัดของการแปลภาษาด้วยเครื่องกลุ่มนี้คือ </w:t>
      </w:r>
      <w:r w:rsidRPr="00D961E6">
        <w:rPr>
          <w:rFonts w:ascii="AngsanaUPC" w:hAnsi="AngsanaUPC" w:cs="AngsanaUPC"/>
          <w:sz w:val="32"/>
          <w:szCs w:val="32"/>
          <w:cs/>
        </w:rPr>
        <w:lastRenderedPageBreak/>
        <w:t>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>Statistical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>Example-based Machine Translation)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เพื่อให้ได้การแปลที่มีประสิทธิภาพในงานวิจัยนี้จะเลือกใช้การแปลภาษาด้วยเครื่องแบบใช้ฐานกฎ ซึ่งเป็นวิธีเริ่มต้นที่มักจะใช้ในการแปลคู่ภาษาใหม่ๆ </w:t>
      </w:r>
      <w:r w:rsidRPr="00D961E6">
        <w:rPr>
          <w:rFonts w:ascii="AngsanaUPC" w:hAnsi="AngsanaUPC" w:cs="AngsanaUPC"/>
          <w:sz w:val="32"/>
          <w:szCs w:val="32"/>
          <w:cs/>
        </w:rPr>
        <w:lastRenderedPageBreak/>
        <w:t>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Pr="00665C4A" w:rsidRDefault="009E2D0A" w:rsidP="00665C4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9703CF" w:rsidRDefault="004E6878" w:rsidP="009703C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Pr="00854E94" w:rsidRDefault="00854E94" w:rsidP="009703C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</w:t>
      </w:r>
      <w:r w:rsidRPr="00854E94">
        <w:rPr>
          <w:rFonts w:ascii="AngsanaUPC" w:hAnsi="AngsanaUPC" w:cs="AngsanaUPC"/>
          <w:sz w:val="32"/>
          <w:szCs w:val="32"/>
          <w:cs/>
        </w:rPr>
        <w:lastRenderedPageBreak/>
        <w:t>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F4289D" w:rsidRDefault="00F4289D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F4289D">
        <w:rPr>
          <w:rFonts w:ascii="AngsanaUPC" w:hAnsi="AngsanaUPC" w:cs="AngsanaUPC"/>
          <w:b/>
          <w:bCs/>
          <w:sz w:val="36"/>
          <w:szCs w:val="36"/>
        </w:rPr>
        <w:t>Machine Transliteration for Indian Languages: A Literature Survey</w:t>
      </w:r>
    </w:p>
    <w:p w:rsidR="0007436A" w:rsidRDefault="0007436A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07436A" w:rsidRDefault="0007436A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0D7EF3" w:rsidRDefault="000D7EF3" w:rsidP="0007436A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4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FA" w:rsidRDefault="00DC23FA" w:rsidP="0068066B">
      <w:pPr>
        <w:spacing w:after="0" w:line="240" w:lineRule="auto"/>
      </w:pPr>
      <w:r>
        <w:separator/>
      </w:r>
    </w:p>
  </w:endnote>
  <w:endnote w:type="continuationSeparator" w:id="0">
    <w:p w:rsidR="00DC23FA" w:rsidRDefault="00DC23FA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FA" w:rsidRDefault="00DC23FA" w:rsidP="0068066B">
      <w:pPr>
        <w:spacing w:after="0" w:line="240" w:lineRule="auto"/>
      </w:pPr>
      <w:r>
        <w:separator/>
      </w:r>
    </w:p>
  </w:footnote>
  <w:footnote w:type="continuationSeparator" w:id="0">
    <w:p w:rsidR="00DC23FA" w:rsidRDefault="00DC23FA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155AB6">
          <w:rPr>
            <w:rFonts w:ascii="Angsana New" w:hAnsi="Angsana New" w:cs="Angsana New"/>
            <w:noProof/>
            <w:sz w:val="32"/>
            <w:szCs w:val="32"/>
          </w:rPr>
          <w:t>13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D87"/>
    <w:multiLevelType w:val="hybridMultilevel"/>
    <w:tmpl w:val="FFE8EB26"/>
    <w:lvl w:ilvl="0" w:tplc="C4A6C5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A2C7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6A293D"/>
    <w:multiLevelType w:val="multilevel"/>
    <w:tmpl w:val="78AE2EC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391E8F"/>
    <w:multiLevelType w:val="multilevel"/>
    <w:tmpl w:val="D2746C1E"/>
    <w:lvl w:ilvl="0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9B4ED5"/>
    <w:multiLevelType w:val="hybridMultilevel"/>
    <w:tmpl w:val="D2746C1E"/>
    <w:lvl w:ilvl="0" w:tplc="49BC4764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7972CA"/>
    <w:multiLevelType w:val="hybridMultilevel"/>
    <w:tmpl w:val="E0605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67533AB1"/>
    <w:multiLevelType w:val="multilevel"/>
    <w:tmpl w:val="0F5EC5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70930C4B"/>
    <w:multiLevelType w:val="hybridMultilevel"/>
    <w:tmpl w:val="1F8484BC"/>
    <w:lvl w:ilvl="0" w:tplc="A406E588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9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6"/>
  </w:num>
  <w:num w:numId="2">
    <w:abstractNumId w:val="42"/>
  </w:num>
  <w:num w:numId="3">
    <w:abstractNumId w:val="24"/>
  </w:num>
  <w:num w:numId="4">
    <w:abstractNumId w:val="31"/>
  </w:num>
  <w:num w:numId="5">
    <w:abstractNumId w:val="33"/>
  </w:num>
  <w:num w:numId="6">
    <w:abstractNumId w:val="10"/>
  </w:num>
  <w:num w:numId="7">
    <w:abstractNumId w:val="15"/>
  </w:num>
  <w:num w:numId="8">
    <w:abstractNumId w:val="41"/>
  </w:num>
  <w:num w:numId="9">
    <w:abstractNumId w:val="1"/>
  </w:num>
  <w:num w:numId="10">
    <w:abstractNumId w:val="12"/>
  </w:num>
  <w:num w:numId="11">
    <w:abstractNumId w:val="44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8"/>
  </w:num>
  <w:num w:numId="17">
    <w:abstractNumId w:val="25"/>
  </w:num>
  <w:num w:numId="18">
    <w:abstractNumId w:val="13"/>
  </w:num>
  <w:num w:numId="19">
    <w:abstractNumId w:val="9"/>
  </w:num>
  <w:num w:numId="20">
    <w:abstractNumId w:val="16"/>
  </w:num>
  <w:num w:numId="21">
    <w:abstractNumId w:val="43"/>
  </w:num>
  <w:num w:numId="22">
    <w:abstractNumId w:val="40"/>
  </w:num>
  <w:num w:numId="23">
    <w:abstractNumId w:val="11"/>
  </w:num>
  <w:num w:numId="24">
    <w:abstractNumId w:val="19"/>
  </w:num>
  <w:num w:numId="25">
    <w:abstractNumId w:val="4"/>
  </w:num>
  <w:num w:numId="26">
    <w:abstractNumId w:val="22"/>
  </w:num>
  <w:num w:numId="27">
    <w:abstractNumId w:val="27"/>
  </w:num>
  <w:num w:numId="28">
    <w:abstractNumId w:val="7"/>
  </w:num>
  <w:num w:numId="29">
    <w:abstractNumId w:val="21"/>
  </w:num>
  <w:num w:numId="30">
    <w:abstractNumId w:val="26"/>
  </w:num>
  <w:num w:numId="31">
    <w:abstractNumId w:val="14"/>
  </w:num>
  <w:num w:numId="32">
    <w:abstractNumId w:val="38"/>
  </w:num>
  <w:num w:numId="33">
    <w:abstractNumId w:val="35"/>
  </w:num>
  <w:num w:numId="34">
    <w:abstractNumId w:val="20"/>
  </w:num>
  <w:num w:numId="35">
    <w:abstractNumId w:val="30"/>
  </w:num>
  <w:num w:numId="36">
    <w:abstractNumId w:val="23"/>
  </w:num>
  <w:num w:numId="37">
    <w:abstractNumId w:val="39"/>
  </w:num>
  <w:num w:numId="38">
    <w:abstractNumId w:val="34"/>
  </w:num>
  <w:num w:numId="39">
    <w:abstractNumId w:val="0"/>
  </w:num>
  <w:num w:numId="40">
    <w:abstractNumId w:val="2"/>
  </w:num>
  <w:num w:numId="41">
    <w:abstractNumId w:val="5"/>
  </w:num>
  <w:num w:numId="42">
    <w:abstractNumId w:val="37"/>
  </w:num>
  <w:num w:numId="43">
    <w:abstractNumId w:val="17"/>
  </w:num>
  <w:num w:numId="44">
    <w:abstractNumId w:val="6"/>
  </w:num>
  <w:num w:numId="45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44CDE"/>
    <w:rsid w:val="00051851"/>
    <w:rsid w:val="000519EC"/>
    <w:rsid w:val="0005346C"/>
    <w:rsid w:val="00054B50"/>
    <w:rsid w:val="00055633"/>
    <w:rsid w:val="0006066C"/>
    <w:rsid w:val="000619A9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5884"/>
    <w:rsid w:val="000758B9"/>
    <w:rsid w:val="00076B0A"/>
    <w:rsid w:val="00077514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565"/>
    <w:rsid w:val="000C79FE"/>
    <w:rsid w:val="000D0887"/>
    <w:rsid w:val="000D127B"/>
    <w:rsid w:val="000D306C"/>
    <w:rsid w:val="000D7128"/>
    <w:rsid w:val="000D75D6"/>
    <w:rsid w:val="000D7EF3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1272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924"/>
    <w:rsid w:val="00131532"/>
    <w:rsid w:val="00132AC8"/>
    <w:rsid w:val="00134B5A"/>
    <w:rsid w:val="00135CA6"/>
    <w:rsid w:val="00135EA3"/>
    <w:rsid w:val="001444BD"/>
    <w:rsid w:val="001464C2"/>
    <w:rsid w:val="00150B67"/>
    <w:rsid w:val="001519EC"/>
    <w:rsid w:val="001541D4"/>
    <w:rsid w:val="00155AB6"/>
    <w:rsid w:val="0015640F"/>
    <w:rsid w:val="0015658B"/>
    <w:rsid w:val="00161C5C"/>
    <w:rsid w:val="00162DA1"/>
    <w:rsid w:val="00163D83"/>
    <w:rsid w:val="00164FF3"/>
    <w:rsid w:val="001654EC"/>
    <w:rsid w:val="0017124F"/>
    <w:rsid w:val="00173D68"/>
    <w:rsid w:val="00173ED4"/>
    <w:rsid w:val="001779AC"/>
    <w:rsid w:val="00182843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27C3"/>
    <w:rsid w:val="001A60B2"/>
    <w:rsid w:val="001A61F4"/>
    <w:rsid w:val="001A743C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3B3"/>
    <w:rsid w:val="001D140B"/>
    <w:rsid w:val="001D148E"/>
    <w:rsid w:val="001D487C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11013"/>
    <w:rsid w:val="00216D7E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E5C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513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7E51"/>
    <w:rsid w:val="003B155C"/>
    <w:rsid w:val="003B5B81"/>
    <w:rsid w:val="003B6657"/>
    <w:rsid w:val="003B7086"/>
    <w:rsid w:val="003B7467"/>
    <w:rsid w:val="003C5DE8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B002F"/>
    <w:rsid w:val="004B5F4D"/>
    <w:rsid w:val="004C1C4D"/>
    <w:rsid w:val="004C2FBA"/>
    <w:rsid w:val="004C4C55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0684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553C"/>
    <w:rsid w:val="0060674C"/>
    <w:rsid w:val="006076A9"/>
    <w:rsid w:val="00610984"/>
    <w:rsid w:val="00611322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1861"/>
    <w:rsid w:val="00632061"/>
    <w:rsid w:val="00632120"/>
    <w:rsid w:val="00633EAA"/>
    <w:rsid w:val="006364F6"/>
    <w:rsid w:val="0063767B"/>
    <w:rsid w:val="00637AB1"/>
    <w:rsid w:val="0064145B"/>
    <w:rsid w:val="00641479"/>
    <w:rsid w:val="006424DD"/>
    <w:rsid w:val="006460C5"/>
    <w:rsid w:val="00650213"/>
    <w:rsid w:val="00651327"/>
    <w:rsid w:val="0065387B"/>
    <w:rsid w:val="0065457E"/>
    <w:rsid w:val="00655567"/>
    <w:rsid w:val="00663E1C"/>
    <w:rsid w:val="00665C4A"/>
    <w:rsid w:val="00670693"/>
    <w:rsid w:val="006722BF"/>
    <w:rsid w:val="00673F49"/>
    <w:rsid w:val="006740E8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1B1"/>
    <w:rsid w:val="00771A9F"/>
    <w:rsid w:val="007734A4"/>
    <w:rsid w:val="007738D1"/>
    <w:rsid w:val="00773AE1"/>
    <w:rsid w:val="00774B5A"/>
    <w:rsid w:val="0077587A"/>
    <w:rsid w:val="00776D1C"/>
    <w:rsid w:val="00776E06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1E26"/>
    <w:rsid w:val="007D26B4"/>
    <w:rsid w:val="007D37CA"/>
    <w:rsid w:val="007D5C2D"/>
    <w:rsid w:val="007D6444"/>
    <w:rsid w:val="007E047D"/>
    <w:rsid w:val="007E72DD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4396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4973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547B"/>
    <w:rsid w:val="00914E0D"/>
    <w:rsid w:val="00917FE7"/>
    <w:rsid w:val="0092100E"/>
    <w:rsid w:val="00924684"/>
    <w:rsid w:val="00924911"/>
    <w:rsid w:val="00927649"/>
    <w:rsid w:val="00927ABB"/>
    <w:rsid w:val="00933625"/>
    <w:rsid w:val="00943606"/>
    <w:rsid w:val="00943671"/>
    <w:rsid w:val="00944A2D"/>
    <w:rsid w:val="00951040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32BB"/>
    <w:rsid w:val="00983B50"/>
    <w:rsid w:val="00985188"/>
    <w:rsid w:val="009875D2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46AD"/>
    <w:rsid w:val="009D7877"/>
    <w:rsid w:val="009E1675"/>
    <w:rsid w:val="009E23C9"/>
    <w:rsid w:val="009E2D0A"/>
    <w:rsid w:val="009E37BD"/>
    <w:rsid w:val="009E6B88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8E3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6B9"/>
    <w:rsid w:val="00AD0B2B"/>
    <w:rsid w:val="00AD200E"/>
    <w:rsid w:val="00AD3974"/>
    <w:rsid w:val="00AD48B9"/>
    <w:rsid w:val="00AD655E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91"/>
    <w:rsid w:val="00AF6ADD"/>
    <w:rsid w:val="00AF7243"/>
    <w:rsid w:val="00B0023A"/>
    <w:rsid w:val="00B00DD1"/>
    <w:rsid w:val="00B01801"/>
    <w:rsid w:val="00B02FBD"/>
    <w:rsid w:val="00B107F2"/>
    <w:rsid w:val="00B10FF3"/>
    <w:rsid w:val="00B12C19"/>
    <w:rsid w:val="00B12CCB"/>
    <w:rsid w:val="00B14FB8"/>
    <w:rsid w:val="00B15A45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5C53"/>
    <w:rsid w:val="00C16F66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71D5"/>
    <w:rsid w:val="00C67271"/>
    <w:rsid w:val="00C72A1C"/>
    <w:rsid w:val="00C76A35"/>
    <w:rsid w:val="00C809A0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3379"/>
    <w:rsid w:val="00CE3F1A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27CA"/>
    <w:rsid w:val="00D05232"/>
    <w:rsid w:val="00D12A50"/>
    <w:rsid w:val="00D1347A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708E"/>
    <w:rsid w:val="00D60919"/>
    <w:rsid w:val="00D60B64"/>
    <w:rsid w:val="00D62AA2"/>
    <w:rsid w:val="00D66169"/>
    <w:rsid w:val="00D67625"/>
    <w:rsid w:val="00D70F65"/>
    <w:rsid w:val="00D75961"/>
    <w:rsid w:val="00D76191"/>
    <w:rsid w:val="00D76403"/>
    <w:rsid w:val="00D76416"/>
    <w:rsid w:val="00D7744F"/>
    <w:rsid w:val="00D80A7B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3FA"/>
    <w:rsid w:val="00DC245E"/>
    <w:rsid w:val="00DC51FD"/>
    <w:rsid w:val="00DC5ED4"/>
    <w:rsid w:val="00DC68EE"/>
    <w:rsid w:val="00DD0D91"/>
    <w:rsid w:val="00DD261E"/>
    <w:rsid w:val="00DD2BC4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3886"/>
    <w:rsid w:val="00E60086"/>
    <w:rsid w:val="00E6172C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2DC"/>
    <w:rsid w:val="00EA2460"/>
    <w:rsid w:val="00EA2C38"/>
    <w:rsid w:val="00EA63BB"/>
    <w:rsid w:val="00EB0350"/>
    <w:rsid w:val="00EB0D1C"/>
    <w:rsid w:val="00EB2559"/>
    <w:rsid w:val="00EB43CC"/>
    <w:rsid w:val="00EB743D"/>
    <w:rsid w:val="00EC01A1"/>
    <w:rsid w:val="00EC057B"/>
    <w:rsid w:val="00EC61D8"/>
    <w:rsid w:val="00ED0E89"/>
    <w:rsid w:val="00ED602D"/>
    <w:rsid w:val="00ED790B"/>
    <w:rsid w:val="00ED7C13"/>
    <w:rsid w:val="00ED7EA5"/>
    <w:rsid w:val="00EE0385"/>
    <w:rsid w:val="00EE073B"/>
    <w:rsid w:val="00EE1BEF"/>
    <w:rsid w:val="00EE2B55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3941"/>
    <w:rsid w:val="00F64233"/>
    <w:rsid w:val="00F663FF"/>
    <w:rsid w:val="00F66E1B"/>
    <w:rsid w:val="00F671E9"/>
    <w:rsid w:val="00F7139A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4D2"/>
    <w:rsid w:val="00F958F6"/>
    <w:rsid w:val="00F9668D"/>
    <w:rsid w:val="00F96C51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30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A9B7D-AB41-4559-9496-C4D279E8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10577</TotalTime>
  <Pages>1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94</cp:revision>
  <cp:lastPrinted>2016-04-01T05:01:00Z</cp:lastPrinted>
  <dcterms:created xsi:type="dcterms:W3CDTF">2016-02-02T14:31:00Z</dcterms:created>
  <dcterms:modified xsi:type="dcterms:W3CDTF">2016-04-19T17:58:00Z</dcterms:modified>
</cp:coreProperties>
</file>