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 xml:space="preserve">transliteration)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หรือการถอดอักษรโบราณเพื่อให้ยังคงรักษารูปแบบการเขียนเดิมเอาไว้การปริวรรตอักษร (การถอดอักษร)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62425E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E50C4E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lastRenderedPageBreak/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อักษรพราหมีอย่างไรก็ตาม 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โดยทั่วไปนิยมเขียนภาษาสันสกฤตด้วยอักษรเทวนาครี 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305175" cy="2551875"/>
            <wp:effectExtent l="152400" t="152400" r="352425" b="363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31" cy="256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Pr="00365134" w:rsidRDefault="00365134" w:rsidP="00365134">
      <w:pPr>
        <w:pStyle w:val="ListParagraph"/>
        <w:spacing w:after="0"/>
        <w:ind w:left="0" w:firstLine="720"/>
        <w:rPr>
          <w:rFonts w:ascii="AngsanaUPC" w:hAnsi="AngsanaUPC" w:cs="AngsanaUPC"/>
          <w:sz w:val="32"/>
          <w:szCs w:val="32"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</w:t>
      </w:r>
      <w:r w:rsidR="007B2882">
        <w:rPr>
          <w:rFonts w:ascii="AngsanaUPC" w:hAnsi="AngsanaUPC" w:cs="AngsanaUPC" w:hint="cs"/>
          <w:sz w:val="32"/>
          <w:szCs w:val="32"/>
          <w:cs/>
        </w:rPr>
        <w:t>อักษรภาษาสันสกฤต</w:t>
      </w:r>
      <w:r w:rsidR="007B2882">
        <w:rPr>
          <w:rFonts w:ascii="AngsanaUPC" w:hAnsi="AngsanaUPC" w:cs="AngsanaUPC" w:hint="cs"/>
          <w:sz w:val="32"/>
          <w:szCs w:val="32"/>
          <w:cs/>
        </w:rPr>
        <w:t>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อักษรภาษาโบราณอื่นๆ</w:t>
      </w:r>
      <w:r w:rsidR="007B2882">
        <w:rPr>
          <w:rFonts w:ascii="AngsanaUPC" w:hAnsi="AngsanaUPC" w:cs="AngsanaUPC" w:hint="cs"/>
          <w:sz w:val="32"/>
          <w:szCs w:val="32"/>
          <w:cs/>
        </w:rPr>
        <w:t>ภาษาบาลี ภาษาปรากฤต</w:t>
      </w:r>
      <w:r w:rsidR="000701AF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bookmarkStart w:id="0" w:name="_GoBack"/>
      <w:r w:rsidR="00A67853" w:rsidRPr="00365134">
        <w:rPr>
          <w:rFonts w:ascii="AngsanaUPC" w:hAnsi="AngsanaUPC" w:cs="AngsanaUPC"/>
          <w:sz w:val="32"/>
          <w:szCs w:val="32"/>
        </w:rPr>
        <w:t xml:space="preserve">It is based on the notation used by </w:t>
      </w:r>
      <w:bookmarkEnd w:id="0"/>
      <w:proofErr w:type="spellStart"/>
      <w:r w:rsidR="00A67853" w:rsidRPr="00365134">
        <w:rPr>
          <w:rFonts w:ascii="AngsanaUPC" w:hAnsi="AngsanaUPC" w:cs="AngsanaUPC"/>
          <w:sz w:val="32"/>
          <w:szCs w:val="32"/>
        </w:rPr>
        <w:t>Monier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67853" w:rsidRPr="00365134">
        <w:rPr>
          <w:rFonts w:ascii="AngsanaUPC" w:hAnsi="AngsanaUPC" w:cs="AngsanaUPC"/>
          <w:sz w:val="32"/>
          <w:szCs w:val="32"/>
        </w:rPr>
        <w:t>Monier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>-Williams in his 1899 dictionary.[1]</w:t>
      </w: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proofErr w:type="gramStart"/>
      <w:r w:rsidRPr="00A67853">
        <w:rPr>
          <w:rFonts w:ascii="AngsanaUPC" w:hAnsi="AngsanaUPC" w:cs="AngsanaUPC"/>
          <w:sz w:val="32"/>
          <w:szCs w:val="32"/>
        </w:rPr>
        <w:t>Use[</w:t>
      </w:r>
      <w:proofErr w:type="gramEnd"/>
      <w:r w:rsidRPr="00A67853">
        <w:rPr>
          <w:rFonts w:ascii="AngsanaUPC" w:hAnsi="AngsanaUPC" w:cs="AngsanaUPC"/>
          <w:sz w:val="32"/>
          <w:szCs w:val="32"/>
        </w:rPr>
        <w:t>edit]</w:t>
      </w: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A67853">
        <w:rPr>
          <w:rFonts w:ascii="AngsanaUPC" w:hAnsi="AngsanaUPC" w:cs="AngsanaUPC"/>
          <w:sz w:val="32"/>
          <w:szCs w:val="32"/>
        </w:rPr>
        <w:t xml:space="preserve">IAST is commonly used for books dealing with ancient Sanskrit and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P</w:t>
      </w:r>
      <w:r w:rsidRPr="00A67853">
        <w:rPr>
          <w:rFonts w:ascii="Cambria" w:hAnsi="Cambria" w:cs="Cambria"/>
          <w:sz w:val="32"/>
          <w:szCs w:val="32"/>
        </w:rPr>
        <w:t>āḷ</w:t>
      </w:r>
      <w:r w:rsidRPr="00A67853">
        <w:rPr>
          <w:rFonts w:ascii="AngsanaUPC" w:hAnsi="AngsanaUPC" w:cs="AngsanaUPC"/>
          <w:sz w:val="32"/>
          <w:szCs w:val="32"/>
        </w:rPr>
        <w:t>i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topics related to Indian religions. The script is, however, insufficient to represent both Sanskrit and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P</w:t>
      </w:r>
      <w:r w:rsidRPr="00A67853">
        <w:rPr>
          <w:rFonts w:ascii="Cambria" w:hAnsi="Cambria" w:cs="Cambria"/>
          <w:sz w:val="32"/>
          <w:szCs w:val="32"/>
        </w:rPr>
        <w:t>āḷ</w:t>
      </w:r>
      <w:r w:rsidRPr="00A67853">
        <w:rPr>
          <w:rFonts w:ascii="AngsanaUPC" w:hAnsi="AngsanaUPC" w:cs="AngsanaUPC"/>
          <w:sz w:val="32"/>
          <w:szCs w:val="32"/>
        </w:rPr>
        <w:t>i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on the same page properly because the </w:t>
      </w:r>
      <w:r w:rsidRPr="00A67853">
        <w:rPr>
          <w:rFonts w:ascii="Cambria" w:hAnsi="Cambria" w:cs="Cambria"/>
          <w:sz w:val="32"/>
          <w:szCs w:val="32"/>
        </w:rPr>
        <w:t>ḷ</w:t>
      </w:r>
      <w:r w:rsidRPr="00A67853">
        <w:rPr>
          <w:rFonts w:ascii="AngsanaUPC" w:hAnsi="AngsanaUPC" w:cs="AngsanaUPC"/>
          <w:sz w:val="32"/>
          <w:szCs w:val="32"/>
        </w:rPr>
        <w:t xml:space="preserve"> (l with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underdot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), a vowel in Sanskrit (vocalic /l/), is the retroflex consonant in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P</w:t>
      </w:r>
      <w:r w:rsidRPr="00A67853">
        <w:rPr>
          <w:rFonts w:ascii="Cambria" w:hAnsi="Cambria" w:cs="Cambria"/>
          <w:sz w:val="32"/>
          <w:szCs w:val="32"/>
        </w:rPr>
        <w:t>āḷ</w:t>
      </w:r>
      <w:r w:rsidRPr="00A67853">
        <w:rPr>
          <w:rFonts w:ascii="AngsanaUPC" w:hAnsi="AngsanaUPC" w:cs="AngsanaUPC"/>
          <w:sz w:val="32"/>
          <w:szCs w:val="32"/>
        </w:rPr>
        <w:t>i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([</w:t>
      </w:r>
      <w:r w:rsidRPr="00A67853">
        <w:rPr>
          <w:rFonts w:ascii="Times New Roman" w:hAnsi="Times New Roman" w:cs="Times New Roman"/>
          <w:sz w:val="32"/>
          <w:szCs w:val="32"/>
        </w:rPr>
        <w:t>ɭ</w:t>
      </w:r>
      <w:r w:rsidRPr="00A67853">
        <w:rPr>
          <w:rFonts w:ascii="AngsanaUPC" w:hAnsi="AngsanaUPC" w:cs="AngsanaUPC"/>
          <w:sz w:val="32"/>
          <w:szCs w:val="32"/>
        </w:rPr>
        <w:t>]). It is better to follow Unicode and ISO 15919, which is, in any case, a more comprehensive scheme.</w:t>
      </w: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A67853">
        <w:rPr>
          <w:rFonts w:ascii="AngsanaUPC" w:hAnsi="AngsanaUPC" w:cs="AngsanaUPC"/>
          <w:sz w:val="32"/>
          <w:szCs w:val="32"/>
        </w:rPr>
        <w:lastRenderedPageBreak/>
        <w:t>IAST is based on a standard established by the International Congress of Orientalists at Geneva in 1894</w:t>
      </w:r>
      <w:proofErr w:type="gramStart"/>
      <w:r w:rsidRPr="00A67853">
        <w:rPr>
          <w:rFonts w:ascii="AngsanaUPC" w:hAnsi="AngsanaUPC" w:cs="AngsanaUPC"/>
          <w:sz w:val="32"/>
          <w:szCs w:val="32"/>
        </w:rPr>
        <w:t>.[</w:t>
      </w:r>
      <w:proofErr w:type="gramEnd"/>
      <w:r w:rsidRPr="00A67853">
        <w:rPr>
          <w:rFonts w:ascii="AngsanaUPC" w:hAnsi="AngsanaUPC" w:cs="AngsanaUPC"/>
          <w:sz w:val="32"/>
          <w:szCs w:val="32"/>
        </w:rPr>
        <w:t>2][3] It allows a lossless transliteration of Devan</w:t>
      </w:r>
      <w:r w:rsidRPr="00A67853">
        <w:rPr>
          <w:rFonts w:ascii="Cambria" w:hAnsi="Cambria" w:cs="Cambria"/>
          <w:sz w:val="32"/>
          <w:szCs w:val="32"/>
        </w:rPr>
        <w:t>ā</w:t>
      </w:r>
      <w:r w:rsidRPr="00A67853">
        <w:rPr>
          <w:rFonts w:ascii="AngsanaUPC" w:hAnsi="AngsanaUPC" w:cs="AngsanaUPC"/>
          <w:sz w:val="32"/>
          <w:szCs w:val="32"/>
        </w:rPr>
        <w:t>gar</w:t>
      </w:r>
      <w:r w:rsidRPr="00A67853">
        <w:rPr>
          <w:rFonts w:ascii="Cambria" w:hAnsi="Cambria" w:cs="Cambria"/>
          <w:sz w:val="32"/>
          <w:szCs w:val="32"/>
        </w:rPr>
        <w:t>ī</w:t>
      </w:r>
      <w:r w:rsidRPr="00A67853">
        <w:rPr>
          <w:rFonts w:ascii="AngsanaUPC" w:hAnsi="AngsanaUPC" w:cs="AngsanaUPC"/>
          <w:sz w:val="32"/>
          <w:szCs w:val="32"/>
        </w:rPr>
        <w:t xml:space="preserve"> (and other Indic scripts, such as </w:t>
      </w:r>
      <w:proofErr w:type="spellStart"/>
      <w:r w:rsidRPr="00A67853">
        <w:rPr>
          <w:rFonts w:ascii="Cambria" w:hAnsi="Cambria" w:cs="Cambria"/>
          <w:sz w:val="32"/>
          <w:szCs w:val="32"/>
        </w:rPr>
        <w:t>Śā</w:t>
      </w:r>
      <w:r w:rsidRPr="00A67853">
        <w:rPr>
          <w:rFonts w:ascii="AngsanaUPC" w:hAnsi="AngsanaUPC" w:cs="AngsanaUPC"/>
          <w:sz w:val="32"/>
          <w:szCs w:val="32"/>
        </w:rPr>
        <w:t>rad</w:t>
      </w:r>
      <w:r w:rsidRPr="00A67853">
        <w:rPr>
          <w:rFonts w:ascii="Cambria" w:hAnsi="Cambria" w:cs="Cambria"/>
          <w:sz w:val="32"/>
          <w:szCs w:val="32"/>
        </w:rPr>
        <w:t>ā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script); and, as such, it represents the phonemes of Sanskrit and also allows essentially phonetic transcription: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visarga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</w:t>
      </w:r>
      <w:r w:rsidRPr="00A67853">
        <w:rPr>
          <w:rFonts w:ascii="Cambria" w:hAnsi="Cambria" w:cs="Cambria"/>
          <w:sz w:val="32"/>
          <w:szCs w:val="32"/>
        </w:rPr>
        <w:t>ḥ</w:t>
      </w:r>
      <w:r w:rsidRPr="00A67853">
        <w:rPr>
          <w:rFonts w:ascii="AngsanaUPC" w:hAnsi="AngsanaUPC" w:cs="AngsanaUPC"/>
          <w:sz w:val="32"/>
          <w:szCs w:val="32"/>
        </w:rPr>
        <w:t xml:space="preserve"> is an allophone of word-final r and s.</w:t>
      </w: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A67853" w:rsidRDefault="00A67853" w:rsidP="00A6785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  <w:r w:rsidRPr="00A67853">
        <w:rPr>
          <w:rFonts w:ascii="AngsanaUPC" w:hAnsi="AngsanaUPC" w:cs="AngsanaUPC"/>
          <w:sz w:val="32"/>
          <w:szCs w:val="32"/>
        </w:rPr>
        <w:t xml:space="preserve">The National Library at Kolkata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romanization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, intended for the </w:t>
      </w:r>
      <w:proofErr w:type="spellStart"/>
      <w:r w:rsidRPr="00A67853">
        <w:rPr>
          <w:rFonts w:ascii="AngsanaUPC" w:hAnsi="AngsanaUPC" w:cs="AngsanaUPC"/>
          <w:sz w:val="32"/>
          <w:szCs w:val="32"/>
        </w:rPr>
        <w:t>romanization</w:t>
      </w:r>
      <w:proofErr w:type="spellEnd"/>
      <w:r w:rsidRPr="00A67853">
        <w:rPr>
          <w:rFonts w:ascii="AngsanaUPC" w:hAnsi="AngsanaUPC" w:cs="AngsanaUPC"/>
          <w:sz w:val="32"/>
          <w:szCs w:val="32"/>
        </w:rPr>
        <w:t xml:space="preserve"> of all Indic scripts, is an extension of IAST.</w:t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lastRenderedPageBreak/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lastRenderedPageBreak/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lastRenderedPageBreak/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lastRenderedPageBreak/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lastRenderedPageBreak/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lastRenderedPageBreak/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lastRenderedPageBreak/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lastRenderedPageBreak/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lastRenderedPageBreak/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lastRenderedPageBreak/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dasyū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radharā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ส่วน</w:t>
      </w:r>
      <w:r w:rsidR="008A431F">
        <w:rPr>
          <w:rFonts w:ascii="AngsanaUPC" w:hAnsi="AngsanaUPC" w:cs="AngsanaUPC" w:hint="cs"/>
          <w:i/>
          <w:iCs/>
          <w:sz w:val="32"/>
          <w:szCs w:val="32"/>
          <w:cs/>
        </w:rPr>
        <w:t>การปริวรรตจากภาษาสันสกฤตนั้น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>ไม่มีการกำหนดอย่างเป็นทางการ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4E6878" w:rsidRPr="00665C4A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517BD2" w:rsidRPr="004E6878" w:rsidRDefault="008759E1" w:rsidP="00665C4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F63941" w:rsidRPr="00F63941" w:rsidRDefault="00F63941" w:rsidP="00F63941">
      <w:pPr>
        <w:rPr>
          <w:rFonts w:ascii="AngsanaUPC" w:eastAsia="Calibri" w:hAnsi="AngsanaUPC" w:cs="AngsanaUPC"/>
          <w:b/>
          <w:bCs/>
          <w:sz w:val="32"/>
          <w:szCs w:val="32"/>
        </w:rPr>
      </w:pPr>
      <w:r w:rsidRPr="00F63941">
        <w:rPr>
          <w:rFonts w:ascii="AngsanaUPC" w:eastAsia="Calibri" w:hAnsi="AngsanaUPC" w:cs="AngsanaUPC" w:hint="cs"/>
          <w:b/>
          <w:bCs/>
          <w:sz w:val="32"/>
          <w:szCs w:val="32"/>
          <w:cs/>
        </w:rPr>
        <w:lastRenderedPageBreak/>
        <w:t>สรุปผลจากการทบทวนวรรณกรรม</w:t>
      </w:r>
      <w:r w:rsidRPr="00F63941">
        <w:rPr>
          <w:rFonts w:ascii="AngsanaUPC" w:eastAsia="Calibri" w:hAnsi="AngsanaUPC" w:cs="AngsanaUPC"/>
          <w:b/>
          <w:bCs/>
          <w:sz w:val="32"/>
          <w:szCs w:val="32"/>
          <w:cs/>
        </w:rPr>
        <w:br/>
      </w:r>
      <w:r w:rsidRPr="00F63941">
        <w:rPr>
          <w:rFonts w:ascii="AngsanaUPC" w:eastAsia="Calibri" w:hAnsi="AngsanaUPC" w:cs="AngsanaUPC"/>
          <w:b/>
          <w:bCs/>
          <w:sz w:val="32"/>
          <w:szCs w:val="32"/>
        </w:rPr>
        <w:t xml:space="preserve"> </w:t>
      </w:r>
      <w:r w:rsidRPr="00F63941">
        <w:rPr>
          <w:rFonts w:ascii="AngsanaUPC" w:eastAsia="Calibri" w:hAnsi="AngsanaUPC" w:cs="AngsanaUPC"/>
          <w:b/>
          <w:bCs/>
          <w:sz w:val="32"/>
          <w:szCs w:val="32"/>
        </w:rPr>
        <w:tab/>
      </w:r>
      <w:r w:rsidRPr="00F63941">
        <w:rPr>
          <w:rFonts w:ascii="AngsanaUPC" w:eastAsia="Calibri" w:hAnsi="AngsanaUPC" w:cs="AngsanaUPC" w:hint="cs"/>
          <w:sz w:val="32"/>
          <w:szCs w:val="32"/>
          <w:cs/>
        </w:rPr>
        <w:t>จากการทบทวนวรรณกรรมที่เกี่ยวข้องกับกระบวนการพัฒนาซอฟต์แวร์แบบ</w:t>
      </w:r>
      <w:proofErr w:type="spellStart"/>
      <w:r w:rsidRPr="00F63941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F63941">
        <w:rPr>
          <w:rFonts w:ascii="AngsanaUPC" w:eastAsia="Calibri" w:hAnsi="AngsanaUPC" w:cs="AngsanaUPC" w:hint="cs"/>
          <w:sz w:val="32"/>
          <w:szCs w:val="32"/>
          <w:cs/>
        </w:rPr>
        <w:t>และการกำหนดความต้องการซอฟต์แวร์</w:t>
      </w:r>
      <w:r w:rsidRPr="00F63941">
        <w:rPr>
          <w:rFonts w:ascii="AngsanaUPC" w:eastAsia="Calibri" w:hAnsi="AngsanaUPC" w:cs="AngsanaUPC"/>
          <w:sz w:val="32"/>
          <w:szCs w:val="32"/>
        </w:rPr>
        <w:t xml:space="preserve"> </w:t>
      </w:r>
      <w:r w:rsidRPr="00F63941">
        <w:rPr>
          <w:rFonts w:ascii="AngsanaUPC" w:eastAsia="Calibri" w:hAnsi="AngsanaUPC" w:cs="AngsanaUPC" w:hint="cs"/>
          <w:sz w:val="32"/>
          <w:szCs w:val="32"/>
          <w:cs/>
        </w:rPr>
        <w:t>ผู้ศึกษาโครงการได้ได้รวบเราสิ่งที่เป็นประโยชน์ที่มีส่วนเกี่ยวข้องกับงานวิจัยในครั้งนี้ ดังแสดงในตารางที่  2.</w:t>
      </w:r>
      <w:r w:rsidRPr="00F63941">
        <w:rPr>
          <w:rFonts w:ascii="AngsanaUPC" w:eastAsia="Calibri" w:hAnsi="AngsanaUPC" w:cs="AngsanaUPC"/>
          <w:sz w:val="32"/>
          <w:szCs w:val="32"/>
        </w:rPr>
        <w:t>4</w:t>
      </w:r>
      <w:r w:rsidRPr="00F63941">
        <w:rPr>
          <w:rFonts w:ascii="AngsanaUPC" w:eastAsia="Calibri" w:hAnsi="AngsanaUPC" w:cs="AngsanaUPC"/>
          <w:sz w:val="32"/>
          <w:szCs w:val="32"/>
          <w:cs/>
        </w:rPr>
        <w:br/>
      </w:r>
      <w:r w:rsidRPr="00F63941">
        <w:rPr>
          <w:rFonts w:ascii="AngsanaUPC" w:eastAsia="Calibri" w:hAnsi="AngsanaUPC" w:cs="AngsanaUPC" w:hint="cs"/>
          <w:b/>
          <w:bCs/>
          <w:sz w:val="32"/>
          <w:szCs w:val="32"/>
          <w:cs/>
        </w:rPr>
        <w:t>ตารางที่ 2.</w:t>
      </w:r>
      <w:r w:rsidRPr="00F63941">
        <w:rPr>
          <w:rFonts w:ascii="AngsanaUPC" w:eastAsia="Calibri" w:hAnsi="AngsanaUPC" w:cs="AngsanaUPC"/>
          <w:b/>
          <w:bCs/>
          <w:sz w:val="32"/>
          <w:szCs w:val="32"/>
        </w:rPr>
        <w:t>4</w:t>
      </w:r>
      <w:r w:rsidRPr="00F63941">
        <w:rPr>
          <w:rFonts w:ascii="AngsanaUPC" w:eastAsia="Calibri" w:hAnsi="AngsanaUPC" w:cs="AngsanaUPC" w:hint="cs"/>
          <w:b/>
          <w:bCs/>
          <w:sz w:val="32"/>
          <w:szCs w:val="32"/>
          <w:cs/>
        </w:rPr>
        <w:t xml:space="preserve">  สรุปผลจากการทบทวนวรรณกรรม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92"/>
        <w:gridCol w:w="2050"/>
        <w:gridCol w:w="2073"/>
        <w:gridCol w:w="2480"/>
      </w:tblGrid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spacing w:after="200" w:line="276" w:lineRule="auto"/>
              <w:jc w:val="center"/>
              <w:rPr>
                <w:rFonts w:ascii="AngsanaUPC" w:eastAsia="Calibri" w:hAnsi="AngsanaUPC" w:cs="AngsanaUPC"/>
                <w:b/>
                <w:bCs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b/>
                <w:bCs/>
                <w:sz w:val="28"/>
                <w:cs/>
              </w:rPr>
              <w:t>งานวิจัย</w:t>
            </w:r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center"/>
              <w:rPr>
                <w:rFonts w:ascii="AngsanaUPC" w:eastAsia="Calibri" w:hAnsi="AngsanaUPC" w:cs="AngsanaUPC"/>
                <w:b/>
                <w:bCs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jc w:val="center"/>
              <w:rPr>
                <w:rFonts w:ascii="AngsanaUPC" w:eastAsia="Calibri" w:hAnsi="AngsanaUPC" w:cs="AngsanaUPC"/>
                <w:b/>
                <w:bCs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b/>
                <w:bCs/>
                <w:sz w:val="28"/>
                <w:cs/>
              </w:rPr>
              <w:t>ผลจากงานวิจัย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center"/>
              <w:rPr>
                <w:rFonts w:ascii="AngsanaUPC" w:eastAsia="Calibri" w:hAnsi="AngsanaUPC" w:cs="AngsanaUPC"/>
                <w:b/>
                <w:bCs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b/>
                <w:bCs/>
                <w:sz w:val="28"/>
                <w:cs/>
              </w:rPr>
              <w:t>สิ่งที่เกี่ยวข้องกับงานวิจัยที่นำเสนอ</w:t>
            </w:r>
          </w:p>
        </w:tc>
      </w:tr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/>
                <w:sz w:val="28"/>
              </w:rPr>
              <w:t>Practical Scrum-Scrum Team : way to Produce Successful and Quality Software,</w:t>
            </w: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 xml:space="preserve"> </w:t>
            </w:r>
            <w:r w:rsidRPr="00F63941">
              <w:rPr>
                <w:rFonts w:ascii="AngsanaUPC" w:eastAsia="Calibri" w:hAnsi="AngsanaUPC" w:cs="AngsanaUPC"/>
                <w:sz w:val="28"/>
              </w:rPr>
              <w:t xml:space="preserve">Ashish </w:t>
            </w:r>
            <w:proofErr w:type="spellStart"/>
            <w:r w:rsidRPr="00F63941">
              <w:rPr>
                <w:rFonts w:ascii="AngsanaUPC" w:eastAsia="Calibri" w:hAnsi="AngsanaUPC" w:cs="AngsanaUPC"/>
                <w:sz w:val="28"/>
              </w:rPr>
              <w:t>Mundra</w:t>
            </w:r>
            <w:proofErr w:type="spellEnd"/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thaiDistribute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การนำเสนอวิธีการพัฒนาซอฟต์แวร์แบบ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มาใช้กับทีมที่มีความแตกต่างกัน และต้องการปรับปรุงคุณภาพของผลิตภัณฑ์ รวมไปถึงบทบาทหน้าที่ของทีมพัฒนา ประสบการณ์ที่จะทำให้มุ่งไปในทิศทางเดียวกัน</w:t>
            </w:r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jc w:val="thaiDistribute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การพัฒนาซอฟต์แวร์แบบ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สามารถควบคุมคุณภาพและความเร็วของแต่ละทีมเป็นไปอย่างปกติ และสามารถกระจายการทำงานสำหรับทีมที่แตกต่างกันได้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บทบาทหน้าที่ของสมาชิกในทีมพัฒนาซอฟต์แวร์ รวมถึงประสบการณ์การทำงานจะมีผลต่อการวัดผลคุณภาพของผลิต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ภัฒณ์</w:t>
            </w:r>
            <w:proofErr w:type="spellEnd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 xml:space="preserve"> </w:t>
            </w:r>
          </w:p>
        </w:tc>
      </w:tr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spacing w:after="200" w:line="276" w:lineRule="auto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/>
                <w:sz w:val="28"/>
              </w:rPr>
              <w:t xml:space="preserve">Visualization and Scheduling of NON-Functional Requirements for Agile Process , </w:t>
            </w:r>
            <w:proofErr w:type="spellStart"/>
            <w:r w:rsidRPr="00F63941">
              <w:rPr>
                <w:rFonts w:ascii="AngsanaUPC" w:eastAsia="Calibri" w:hAnsi="AngsanaUPC" w:cs="AngsanaUPC"/>
                <w:sz w:val="28"/>
              </w:rPr>
              <w:t>Weam</w:t>
            </w:r>
            <w:proofErr w:type="spellEnd"/>
            <w:r w:rsidRPr="00F63941">
              <w:rPr>
                <w:rFonts w:ascii="AngsanaUPC" w:eastAsia="Calibri" w:hAnsi="AngsanaUPC" w:cs="AngsanaUPC"/>
                <w:sz w:val="28"/>
              </w:rPr>
              <w:t xml:space="preserve"> </w:t>
            </w:r>
            <w:proofErr w:type="spellStart"/>
            <w:r w:rsidRPr="00F63941">
              <w:rPr>
                <w:rFonts w:ascii="AngsanaUPC" w:eastAsia="Calibri" w:hAnsi="AngsanaUPC" w:cs="AngsanaUPC"/>
                <w:sz w:val="28"/>
              </w:rPr>
              <w:t>M.Farid</w:t>
            </w:r>
            <w:proofErr w:type="spellEnd"/>
            <w:r w:rsidRPr="00F63941">
              <w:rPr>
                <w:rFonts w:ascii="AngsanaUPC" w:eastAsia="Calibri" w:hAnsi="AngsanaUPC" w:cs="AngsanaUPC"/>
                <w:sz w:val="28"/>
              </w:rPr>
              <w:t xml:space="preserve">  </w:t>
            </w:r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นำเสนอวิธีการวางแผนและสร้างกรอบการจัดการกับความต้องการซอฟต์แวร์ในกระบวนการพัฒนาซอฟต์แวร์แบบอ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ไจล์</w:t>
            </w:r>
            <w:proofErr w:type="spellEnd"/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การวางแผนความเสี่ยงในโครงการขนาดใหญ่ ทำให้สามารถลดระยะเวลาในการพัฒนาได้ 1 ถึง 2 เดือน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การวางแผนในกระบวนการพัฒนาซอฟต์แวร์ที่สามารถนำมาปรับใช้เพื่อลดความเสี่ยงในการทำกิจกรรมได้ในแต่ละขั้นตอนของกระบวนการ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</w:p>
        </w:tc>
      </w:tr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spacing w:after="200" w:line="276" w:lineRule="auto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/>
                <w:sz w:val="28"/>
              </w:rPr>
              <w:t xml:space="preserve">A study of the Characteristics of  </w:t>
            </w:r>
            <w:proofErr w:type="spellStart"/>
            <w:r w:rsidRPr="00F63941">
              <w:rPr>
                <w:rFonts w:ascii="AngsanaUPC" w:eastAsia="Calibri" w:hAnsi="AngsanaUPC" w:cs="AngsanaUPC"/>
                <w:sz w:val="28"/>
              </w:rPr>
              <w:t>Behaviour</w:t>
            </w:r>
            <w:proofErr w:type="spellEnd"/>
            <w:r w:rsidRPr="00F63941">
              <w:rPr>
                <w:rFonts w:ascii="AngsanaUPC" w:eastAsia="Calibri" w:hAnsi="AngsanaUPC" w:cs="AngsanaUPC"/>
                <w:sz w:val="28"/>
              </w:rPr>
              <w:t xml:space="preserve">  Driven Development, Solis </w:t>
            </w:r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นำเสนอรูปแบบเฉพาะการสร้างความต้องการซอฟต์แวร์ในกระบวนการขับเคลื่อน</w:t>
            </w: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lastRenderedPageBreak/>
              <w:t>ด้วยพฤติกรรมการทำงาน</w:t>
            </w:r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lastRenderedPageBreak/>
              <w:t>พื้นฐานสำหรับการสร้างชุดทดสอบด้วยพฤติกรรมการทำงาน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 xml:space="preserve">การสร้างข้อมูลสำหรับนำเข้าสู่กระบวนการในขั้นตอนสร้างชุดทดสอบด้วยพฤติกรรมการทำงาน </w:t>
            </w:r>
          </w:p>
        </w:tc>
      </w:tr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keepNext/>
              <w:keepLines/>
              <w:shd w:val="clear" w:color="auto" w:fill="FFFFFF"/>
              <w:spacing w:after="180"/>
              <w:jc w:val="both"/>
              <w:outlineLvl w:val="0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F63941">
              <w:rPr>
                <w:rFonts w:ascii="AngsanaUPC" w:eastAsia="Times New Roman" w:hAnsi="AngsanaUPC" w:cs="AngsanaUPC"/>
                <w:color w:val="000000"/>
                <w:sz w:val="28"/>
              </w:rPr>
              <w:lastRenderedPageBreak/>
              <w:t>How We Successfully Adapted Agile for a Research-Heavy Engineering Software Team, A</w:t>
            </w:r>
            <w:r w:rsidRPr="00F63941">
              <w:rPr>
                <w:rFonts w:ascii="AngsanaUPC" w:eastAsia="Times New Roman" w:hAnsi="AngsanaUPC" w:cs="AngsanaUPC" w:hint="cs"/>
                <w:color w:val="000000"/>
                <w:sz w:val="28"/>
                <w:cs/>
              </w:rPr>
              <w:t>.</w:t>
            </w:r>
            <w:r w:rsidRPr="00F63941">
              <w:rPr>
                <w:rFonts w:ascii="AngsanaUPC" w:eastAsia="Times New Roman" w:hAnsi="AngsanaUPC" w:cs="AngsanaUPC"/>
                <w:color w:val="000000"/>
                <w:sz w:val="28"/>
              </w:rPr>
              <w:t xml:space="preserve">A </w:t>
            </w:r>
            <w:proofErr w:type="spellStart"/>
            <w:r w:rsidRPr="00F63941">
              <w:rPr>
                <w:rFonts w:ascii="AngsanaUPC" w:eastAsia="Times New Roman" w:hAnsi="AngsanaUPC" w:cs="AngsanaUPC"/>
                <w:color w:val="000000"/>
                <w:sz w:val="28"/>
              </w:rPr>
              <w:t>Lorber</w:t>
            </w:r>
            <w:proofErr w:type="spellEnd"/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thaiDistribute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วิธีการสร้างและจัดลำดับความสำคัญของงาน โดยมีการวางแผนและสื่อสารกับลูกค้าให้เกิดความเข้าใจที่ตรงกันในสภาพแวดล้อมที่แตกต่างกัน</w:t>
            </w:r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ความสำเร็จ คือ การยอมรับข้อจำกัดของวิธีการทำงาน เทคนิคและสภาพแวดล้อม เพราะสิ่งเหล่านี้เป็นผลต่อเนื่องต่อการพัฒนาและส่งมอบผลิตภัณฑ์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การเพิ่มวิธีการที่สามารถประยุกต์ใช้กับสภาพแวดล้อมที่แตกต่างกัน ให้ทีมสามารถจัดการและบริหารโครงการให้มีประสิทธิภาพมากที่สุด</w:t>
            </w:r>
          </w:p>
        </w:tc>
      </w:tr>
      <w:tr w:rsidR="00F63941" w:rsidRPr="00F63941" w:rsidTr="00036651">
        <w:tc>
          <w:tcPr>
            <w:tcW w:w="2855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/>
                <w:sz w:val="28"/>
              </w:rPr>
              <w:t>Scrum Metric for Hyper Productive Team : How They Fly like Fighter Aircraft ,Scott Downey</w:t>
            </w:r>
          </w:p>
        </w:tc>
        <w:tc>
          <w:tcPr>
            <w:tcW w:w="2720" w:type="dxa"/>
          </w:tcPr>
          <w:p w:rsidR="00F63941" w:rsidRPr="00F63941" w:rsidRDefault="00F63941" w:rsidP="00F63941">
            <w:pPr>
              <w:spacing w:after="200" w:line="276" w:lineRule="auto"/>
              <w:jc w:val="both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นำเสนอตัวชี้วัดทีมพัฒนาซอฟต์แวร์แบบ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</w:p>
        </w:tc>
        <w:tc>
          <w:tcPr>
            <w:tcW w:w="3330" w:type="dxa"/>
          </w:tcPr>
          <w:p w:rsidR="00F63941" w:rsidRPr="00F63941" w:rsidRDefault="00F63941" w:rsidP="00F63941">
            <w:pPr>
              <w:spacing w:after="200" w:line="276" w:lineRule="auto"/>
              <w:rPr>
                <w:rFonts w:ascii="AngsanaUPC" w:eastAsia="Calibri" w:hAnsi="AngsanaUPC" w:cs="AngsanaUPC"/>
                <w:sz w:val="28"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ตัวชี้วัดที่ช่วยเพิ่มประสิทธิภาพให้กับทีมพัฒนาซอฟต์แวร์แบบ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 xml:space="preserve"> โดยได้ตัวชี้วัดทั้งหมด 10 ตัวชี้วัด เพื่อเป็นพื้นฐานสำหรับใช้ในทีมพัฒนาซอฟต์แวร์แบบ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ให้มีประสิทธิภาพมากขึ้น</w:t>
            </w:r>
          </w:p>
        </w:tc>
        <w:tc>
          <w:tcPr>
            <w:tcW w:w="3870" w:type="dxa"/>
          </w:tcPr>
          <w:p w:rsidR="00F63941" w:rsidRPr="00F63941" w:rsidRDefault="00F63941" w:rsidP="00F63941">
            <w:pPr>
              <w:spacing w:after="200" w:line="276" w:lineRule="auto"/>
              <w:jc w:val="thaiDistribute"/>
              <w:rPr>
                <w:rFonts w:ascii="AngsanaUPC" w:eastAsia="Calibri" w:hAnsi="AngsanaUPC" w:cs="AngsanaUPC"/>
                <w:sz w:val="28"/>
                <w:cs/>
              </w:rPr>
            </w:pPr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นำตัวชี้วัดบางอย่างที่เกี่ยวข้องกับกระบวนการสร้างข้อกำหนดความต้องการซอฟต์แวร์ เพื่อช่วยเพิ่มประสิทธิภาพใช้ทีมพัฒนาซอฟต์แวร์แบบ</w:t>
            </w:r>
            <w:proofErr w:type="spellStart"/>
            <w:r w:rsidRPr="00F63941">
              <w:rPr>
                <w:rFonts w:ascii="AngsanaUPC" w:eastAsia="Calibri" w:hAnsi="AngsanaUPC" w:cs="AngsanaUPC" w:hint="cs"/>
                <w:sz w:val="28"/>
                <w:cs/>
              </w:rPr>
              <w:t>สกรัม</w:t>
            </w:r>
            <w:proofErr w:type="spellEnd"/>
          </w:p>
        </w:tc>
      </w:tr>
    </w:tbl>
    <w:p w:rsidR="00F63941" w:rsidRPr="00F63941" w:rsidRDefault="00F63941" w:rsidP="00F63941">
      <w:pPr>
        <w:rPr>
          <w:rFonts w:ascii="AngsanaUPC" w:eastAsia="Calibri" w:hAnsi="AngsanaUPC" w:cs="AngsanaUPC"/>
          <w:b/>
          <w:bCs/>
          <w:sz w:val="32"/>
          <w:szCs w:val="32"/>
        </w:rPr>
      </w:pPr>
    </w:p>
    <w:p w:rsidR="00350451" w:rsidRPr="00F6394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10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7E" w:rsidRDefault="00216D7E" w:rsidP="0068066B">
      <w:pPr>
        <w:spacing w:after="0" w:line="240" w:lineRule="auto"/>
      </w:pPr>
      <w:r>
        <w:separator/>
      </w:r>
    </w:p>
  </w:endnote>
  <w:endnote w:type="continuationSeparator" w:id="0">
    <w:p w:rsidR="00216D7E" w:rsidRDefault="00216D7E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7E" w:rsidRDefault="00216D7E" w:rsidP="0068066B">
      <w:pPr>
        <w:spacing w:after="0" w:line="240" w:lineRule="auto"/>
      </w:pPr>
      <w:r>
        <w:separator/>
      </w:r>
    </w:p>
  </w:footnote>
  <w:footnote w:type="continuationSeparator" w:id="0">
    <w:p w:rsidR="00216D7E" w:rsidRDefault="00216D7E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C46926">
          <w:rPr>
            <w:rFonts w:ascii="Angsana New" w:hAnsi="Angsana New" w:cs="Angsana New"/>
            <w:noProof/>
            <w:sz w:val="32"/>
            <w:szCs w:val="32"/>
          </w:rPr>
          <w:t>11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9"/>
  </w:num>
  <w:num w:numId="2">
    <w:abstractNumId w:val="34"/>
  </w:num>
  <w:num w:numId="3">
    <w:abstractNumId w:val="19"/>
  </w:num>
  <w:num w:numId="4">
    <w:abstractNumId w:val="26"/>
  </w:num>
  <w:num w:numId="5">
    <w:abstractNumId w:val="27"/>
  </w:num>
  <w:num w:numId="6">
    <w:abstractNumId w:val="6"/>
  </w:num>
  <w:num w:numId="7">
    <w:abstractNumId w:val="11"/>
  </w:num>
  <w:num w:numId="8">
    <w:abstractNumId w:val="33"/>
  </w:num>
  <w:num w:numId="9">
    <w:abstractNumId w:val="0"/>
  </w:num>
  <w:num w:numId="10">
    <w:abstractNumId w:val="8"/>
  </w:num>
  <w:num w:numId="11">
    <w:abstractNumId w:val="36"/>
  </w:num>
  <w:num w:numId="12">
    <w:abstractNumId w:val="1"/>
  </w:num>
  <w:num w:numId="13">
    <w:abstractNumId w:val="13"/>
  </w:num>
  <w:num w:numId="14">
    <w:abstractNumId w:val="23"/>
  </w:num>
  <w:num w:numId="15">
    <w:abstractNumId w:val="24"/>
  </w:num>
  <w:num w:numId="16">
    <w:abstractNumId w:val="4"/>
  </w:num>
  <w:num w:numId="17">
    <w:abstractNumId w:val="20"/>
  </w:num>
  <w:num w:numId="18">
    <w:abstractNumId w:val="9"/>
  </w:num>
  <w:num w:numId="19">
    <w:abstractNumId w:val="5"/>
  </w:num>
  <w:num w:numId="20">
    <w:abstractNumId w:val="12"/>
  </w:num>
  <w:num w:numId="21">
    <w:abstractNumId w:val="35"/>
  </w:num>
  <w:num w:numId="22">
    <w:abstractNumId w:val="32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2"/>
  </w:num>
  <w:num w:numId="28">
    <w:abstractNumId w:val="3"/>
  </w:num>
  <w:num w:numId="29">
    <w:abstractNumId w:val="16"/>
  </w:num>
  <w:num w:numId="30">
    <w:abstractNumId w:val="21"/>
  </w:num>
  <w:num w:numId="31">
    <w:abstractNumId w:val="10"/>
  </w:num>
  <w:num w:numId="32">
    <w:abstractNumId w:val="30"/>
  </w:num>
  <w:num w:numId="33">
    <w:abstractNumId w:val="28"/>
  </w:num>
  <w:num w:numId="34">
    <w:abstractNumId w:val="15"/>
  </w:num>
  <w:num w:numId="35">
    <w:abstractNumId w:val="25"/>
  </w:num>
  <w:num w:numId="36">
    <w:abstractNumId w:val="18"/>
  </w:num>
  <w:num w:numId="37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55633"/>
    <w:rsid w:val="000619A9"/>
    <w:rsid w:val="00067CAB"/>
    <w:rsid w:val="000701AF"/>
    <w:rsid w:val="00071BAA"/>
    <w:rsid w:val="00071BE5"/>
    <w:rsid w:val="000734B5"/>
    <w:rsid w:val="00073647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3F7"/>
    <w:rsid w:val="000B18D1"/>
    <w:rsid w:val="000B3434"/>
    <w:rsid w:val="000C79FE"/>
    <w:rsid w:val="000D0887"/>
    <w:rsid w:val="000D127B"/>
    <w:rsid w:val="000D7128"/>
    <w:rsid w:val="000D75D6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1272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924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16D7E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4537"/>
    <w:rsid w:val="00436253"/>
    <w:rsid w:val="00437204"/>
    <w:rsid w:val="004412F3"/>
    <w:rsid w:val="004435B9"/>
    <w:rsid w:val="00443B22"/>
    <w:rsid w:val="00443FFB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65C4A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C7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6B9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849A6"/>
    <w:rsid w:val="00D92C5B"/>
    <w:rsid w:val="00D94DC7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6D81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90B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D0326"/>
    <w:rsid w:val="00FD2E6E"/>
    <w:rsid w:val="00FD48E6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778E0-4554-44A2-85E4-6B7F607E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11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62</cp:revision>
  <cp:lastPrinted>2016-04-01T05:01:00Z</cp:lastPrinted>
  <dcterms:created xsi:type="dcterms:W3CDTF">2016-02-02T14:31:00Z</dcterms:created>
  <dcterms:modified xsi:type="dcterms:W3CDTF">2016-04-01T06:27:00Z</dcterms:modified>
</cp:coreProperties>
</file>