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Pr="00584BCA">
        <w:rPr>
          <w:rFonts w:ascii="AngsanaUPC" w:hAnsi="AngsanaUPC" w:cs="AngsanaUPC"/>
          <w:color w:val="000000"/>
          <w:sz w:val="32"/>
          <w:szCs w:val="32"/>
        </w:rPr>
        <w:t>html</w:t>
      </w:r>
      <w:r w:rsidR="002D16F2" w:rsidRPr="00473DB2">
        <w:rPr>
          <w:rFonts w:ascii="AngsanaUPC" w:hAnsi="AngsanaUPC" w:cs="AngsanaUPC"/>
          <w:color w:val="000000"/>
          <w:sz w:val="32"/>
          <w:szCs w:val="32"/>
        </w:rPr>
        <w:t>[</w:t>
      </w:r>
      <w:proofErr w:type="gramEnd"/>
      <w:r w:rsidR="002D16F2" w:rsidRPr="00473DB2">
        <w:rPr>
          <w:rFonts w:ascii="AngsanaUPC" w:hAnsi="AngsanaUPC" w:cs="AngsanaUPC"/>
          <w:color w:val="000000"/>
          <w:sz w:val="32"/>
          <w:szCs w:val="32"/>
        </w:rPr>
        <w:t xml:space="preserve">12 </w:t>
      </w:r>
      <w:r w:rsidR="002D16F2"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="002D16F2"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="002D16F2"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AD2790" w:rsidRPr="00AD2790" w:rsidRDefault="00AD2790" w:rsidP="00B53F8A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 w:rsidR="00B53F8A"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 w:rsidR="00095612"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095612" w:rsidRDefault="00095612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Pr="00584BCA">
        <w:rPr>
          <w:rFonts w:ascii="AngsanaUPC" w:hAnsi="AngsanaUPC" w:cs="AngsanaUPC"/>
          <w:color w:val="000000"/>
          <w:sz w:val="32"/>
          <w:szCs w:val="32"/>
        </w:rPr>
        <w:t>html</w:t>
      </w:r>
      <w:r w:rsidRPr="00473DB2">
        <w:rPr>
          <w:rFonts w:ascii="AngsanaUPC" w:hAnsi="AngsanaUPC" w:cs="AngsanaUPC"/>
          <w:color w:val="000000"/>
          <w:sz w:val="32"/>
          <w:szCs w:val="32"/>
        </w:rPr>
        <w:t>[</w:t>
      </w:r>
      <w:proofErr w:type="gramEnd"/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FF55A5" w:rsidRDefault="00FF55A5" w:rsidP="00FF55A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FF55A5" w:rsidRDefault="00FF55A5" w:rsidP="00FF55A5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5F3688" w:rsidRDefault="002F0267" w:rsidP="002F026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lastRenderedPageBreak/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gramStart"/>
      <w:r w:rsidRPr="002F0267">
        <w:rPr>
          <w:rFonts w:ascii="AngsanaUPC" w:hAnsi="AngsanaUPC" w:cs="AngsanaUPC"/>
          <w:color w:val="000000"/>
          <w:sz w:val="32"/>
          <w:szCs w:val="32"/>
        </w:rPr>
        <w:t>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proofErr w:type="gramEnd"/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2F0267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[28</w:t>
      </w:r>
      <w:r w:rsidR="005F3688" w:rsidRPr="00473DB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="005F3688"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="005F3688"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F76AE1" w:rsidRPr="00F76AE1" w:rsidRDefault="00F76AE1" w:rsidP="00F76AE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 w:rsidRPr="00F76AE1">
        <w:rPr>
          <w:rFonts w:ascii="AngsanaUPC" w:hAnsi="AngsanaUPC" w:cs="AngsanaUPC"/>
          <w:color w:val="000000"/>
          <w:sz w:val="32"/>
          <w:szCs w:val="32"/>
        </w:rPr>
        <w:t>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</w:t>
      </w:r>
      <w:r w:rsidRPr="00F76AE1">
        <w:rPr>
          <w:rFonts w:ascii="AngsanaUPC" w:hAnsi="AngsanaUPC" w:cs="AngsanaUPC"/>
          <w:color w:val="000000"/>
          <w:sz w:val="32"/>
          <w:szCs w:val="32"/>
        </w:rPr>
        <w:t>,</w:t>
      </w:r>
      <w:r w:rsidRPr="00F76AE1">
        <w:t xml:space="preserve"> </w:t>
      </w:r>
      <w:bookmarkStart w:id="0" w:name="_GoBack"/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bookmarkEnd w:id="0"/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http://learnsanskrit.org/tools/sanscript </w:t>
      </w: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js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[28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F76AE1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FF55A5" w:rsidRDefault="00FF55A5" w:rsidP="00F76AE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Pr="00FF55A5" w:rsidRDefault="00FF55A5" w:rsidP="00FF55A5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95612"/>
    <w:rsid w:val="000A7A0C"/>
    <w:rsid w:val="000C017F"/>
    <w:rsid w:val="000D20B2"/>
    <w:rsid w:val="000F1DEC"/>
    <w:rsid w:val="00131ED1"/>
    <w:rsid w:val="001524CB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B5E5C"/>
    <w:rsid w:val="003D4BEB"/>
    <w:rsid w:val="00402BAA"/>
    <w:rsid w:val="0041080E"/>
    <w:rsid w:val="00473DB2"/>
    <w:rsid w:val="00493DC2"/>
    <w:rsid w:val="004B15D8"/>
    <w:rsid w:val="004C28E8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3688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70AD4"/>
    <w:rsid w:val="00884353"/>
    <w:rsid w:val="008C0B22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920D7"/>
    <w:rsid w:val="00BF2D7A"/>
    <w:rsid w:val="00C120B3"/>
    <w:rsid w:val="00C31790"/>
    <w:rsid w:val="00C31B83"/>
    <w:rsid w:val="00C34C81"/>
    <w:rsid w:val="00C472A2"/>
    <w:rsid w:val="00C875B2"/>
    <w:rsid w:val="00D050BE"/>
    <w:rsid w:val="00DA17B3"/>
    <w:rsid w:val="00DF0C9D"/>
    <w:rsid w:val="00E65C53"/>
    <w:rsid w:val="00E9386D"/>
    <w:rsid w:val="00ED394A"/>
    <w:rsid w:val="00F051BE"/>
    <w:rsid w:val="00F76AE1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1567</Words>
  <Characters>8937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9</cp:revision>
  <dcterms:created xsi:type="dcterms:W3CDTF">2015-05-24T08:46:00Z</dcterms:created>
  <dcterms:modified xsi:type="dcterms:W3CDTF">2016-03-28T16:55:00Z</dcterms:modified>
</cp:coreProperties>
</file>