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  <w:bookmarkStart w:id="0" w:name="_Toc456494657"/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17970" w:rsidRPr="009A64F3" w:rsidRDefault="00EA08ED" w:rsidP="00217970">
      <w:pPr>
        <w:pStyle w:val="a2"/>
        <w:rPr>
          <w:rFonts w:ascii="AngsanaUPC" w:hAnsi="AngsanaUPC" w:cs="AngsanaUPC"/>
          <w:sz w:val="32"/>
          <w:szCs w:val="32"/>
          <w:cs/>
        </w:rPr>
      </w:pPr>
      <w:r w:rsidRPr="009A64F3">
        <w:rPr>
          <w:rFonts w:ascii="AngsanaUPC" w:hAnsi="AngsanaUPC" w:cs="AngsanaUPC"/>
          <w:sz w:val="32"/>
          <w:szCs w:val="32"/>
          <w:cs/>
        </w:rPr>
        <w:t>ภาคผนวก</w:t>
      </w:r>
      <w:bookmarkEnd w:id="0"/>
      <w:r w:rsidR="008E56E9" w:rsidRPr="009A64F3">
        <w:rPr>
          <w:rFonts w:ascii="AngsanaUPC" w:hAnsi="AngsanaUPC" w:cs="AngsanaUPC"/>
          <w:sz w:val="32"/>
          <w:szCs w:val="32"/>
        </w:rPr>
        <w:t xml:space="preserve"> </w:t>
      </w:r>
      <w:r w:rsidR="00C919D9" w:rsidRPr="009A64F3">
        <w:rPr>
          <w:rFonts w:ascii="AngsanaUPC" w:hAnsi="AngsanaUPC" w:cs="AngsanaUPC"/>
          <w:sz w:val="32"/>
          <w:szCs w:val="32"/>
          <w:cs/>
        </w:rPr>
        <w:t>ข</w:t>
      </w:r>
    </w:p>
    <w:p w:rsidR="008E56E9" w:rsidRPr="009A64F3" w:rsidRDefault="00C919D9" w:rsidP="00217970">
      <w:pPr>
        <w:pStyle w:val="a2"/>
        <w:rPr>
          <w:rFonts w:ascii="AngsanaUPC" w:hAnsi="AngsanaUPC" w:cs="AngsanaUPC"/>
          <w:b w:val="0"/>
          <w:bCs w:val="0"/>
          <w:sz w:val="32"/>
          <w:szCs w:val="32"/>
        </w:rPr>
      </w:pP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ประวัติผู้ประเมิน</w:t>
      </w:r>
      <w:r w:rsidR="00C20837"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ผลและผู้</w:t>
      </w: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เชี่ยวชาญภาษาสันสกฤต</w:t>
      </w:r>
    </w:p>
    <w:p w:rsidR="00C919D9" w:rsidRPr="009A64F3" w:rsidRDefault="00C919D9" w:rsidP="00C919D9">
      <w:pPr>
        <w:pStyle w:val="Heading1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B948C7" w:rsidRPr="009A64F3" w:rsidRDefault="00B948C7" w:rsidP="00B948C7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E2853" w:rsidRP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  <w:bookmarkStart w:id="1" w:name="_GoBack"/>
      <w:bookmarkEnd w:id="1"/>
      <w:r w:rsidRPr="009A64F3">
        <w:rPr>
          <w:rFonts w:ascii="AngsanaUPC" w:eastAsia="Times New Roman" w:hAnsi="AngsanaUPC" w:cs="AngsanaUPC"/>
          <w:b/>
          <w:bCs/>
          <w:cs/>
        </w:rPr>
        <w:lastRenderedPageBreak/>
        <w:t>อาจารย์</w:t>
      </w:r>
      <w:r w:rsidR="009E2853" w:rsidRPr="009A64F3">
        <w:rPr>
          <w:rFonts w:ascii="AngsanaUPC" w:eastAsia="Times New Roman" w:hAnsi="AngsanaUPC" w:cs="AngsanaUPC"/>
          <w:b/>
          <w:bCs/>
          <w:cs/>
        </w:rPr>
        <w:t>ธวัชชัย ดุลยสุจริต</w:t>
      </w:r>
    </w:p>
    <w:p w:rsidR="009E2853" w:rsidRPr="009E2853" w:rsidRDefault="009E2853" w:rsidP="009E2853">
      <w:pPr>
        <w:jc w:val="center"/>
        <w:rPr>
          <w:rFonts w:ascii="AngsanaUPC" w:eastAsia="Times New Roman" w:hAnsi="AngsanaUPC" w:cs="AngsanaUPC"/>
          <w:b/>
          <w:bCs/>
          <w:cs/>
        </w:rPr>
      </w:pPr>
    </w:p>
    <w:p w:rsidR="009A64F3" w:rsidRPr="009A64F3" w:rsidRDefault="009A64F3" w:rsidP="009A64F3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คุณวุฒิ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คณะศิลปศาสตร์ มหาวิทยาลัยธรรมศาสตร์ (ศศ.บ. ภาษาไทย)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คณะโบราณคดี มหาวิทยาลัยศิลปากร (ศศ.ม. ภาษาสันสกฤต)</w:t>
      </w:r>
    </w:p>
    <w:p w:rsidR="009E2853" w:rsidRPr="009E2853" w:rsidRDefault="009E2853" w:rsidP="009E2853">
      <w:pPr>
        <w:ind w:left="2880" w:hanging="288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ประวัติการทำงาน</w:t>
      </w:r>
      <w:r w:rsidRPr="009E2853">
        <w:rPr>
          <w:rFonts w:ascii="AngsanaUPC" w:eastAsia="Times New Roman" w:hAnsi="AngsanaUPC" w:cs="AngsanaUPC"/>
        </w:rPr>
        <w:tab/>
      </w:r>
    </w:p>
    <w:p w:rsidR="009E2853" w:rsidRPr="009E2853" w:rsidRDefault="009E2853" w:rsidP="009E2853">
      <w:pPr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อดีต</w:t>
      </w:r>
      <w:r w:rsidRPr="009A64F3">
        <w:rPr>
          <w:rFonts w:ascii="AngsanaUPC" w:eastAsia="Times New Roman" w:hAnsi="AngsanaUPC" w:cs="AngsanaUPC"/>
        </w:rPr>
        <w:t xml:space="preserve"> </w:t>
      </w:r>
      <w:r w:rsidRPr="009A64F3">
        <w:rPr>
          <w:rFonts w:ascii="AngsanaUPC" w:eastAsia="Times New Roman" w:hAnsi="AngsanaUPC" w:cs="AngsanaUPC"/>
        </w:rPr>
        <w:tab/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ผู้ดูแลเว็บไซต์สารานุกรมเสรี </w:t>
      </w:r>
      <w:r w:rsidRPr="009E2853">
        <w:rPr>
          <w:rFonts w:ascii="AngsanaUPC" w:eastAsia="Times New Roman" w:hAnsi="AngsanaUPC" w:cs="AngsanaUPC"/>
        </w:rPr>
        <w:t>th.wikipedia.org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 xml:space="preserve">ผู้ดูแลเว็บไซต์ </w:t>
      </w:r>
      <w:r w:rsidRPr="009E2853">
        <w:rPr>
          <w:rFonts w:ascii="AngsanaUPC" w:eastAsia="Times New Roman" w:hAnsi="AngsanaUPC" w:cs="AngsanaUPC"/>
        </w:rPr>
        <w:t xml:space="preserve">Knowledge Center </w:t>
      </w:r>
      <w:r w:rsidRPr="009A64F3">
        <w:rPr>
          <w:rFonts w:ascii="AngsanaUPC" w:eastAsia="Times New Roman" w:hAnsi="AngsanaUPC" w:cs="AngsanaUPC"/>
          <w:cs/>
        </w:rPr>
        <w:t>สถาบันทรัพยากรมนุษย์</w:t>
      </w:r>
      <w:r w:rsidRPr="009E2853">
        <w:rPr>
          <w:rFonts w:ascii="AngsanaUPC" w:eastAsia="Times New Roman" w:hAnsi="AngsanaUPC" w:cs="AngsanaUPC"/>
          <w:cs/>
        </w:rPr>
        <w:t>มหาวิทยาลัยธรรมศาสตร์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กรรมการบริการ สถาบันทรัพยากรมนุษย์ มหาวิทยาลัยธรรมศาสตร์</w:t>
      </w:r>
    </w:p>
    <w:p w:rsidR="009E2853" w:rsidRPr="009E2853" w:rsidRDefault="009E2853" w:rsidP="009E2853">
      <w:pPr>
        <w:ind w:left="144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ปัจจุบัน</w:t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บรรณาธิการ นิตยสาร </w:t>
      </w:r>
      <w:r w:rsidRPr="009E2853">
        <w:rPr>
          <w:rFonts w:ascii="AngsanaUPC" w:eastAsia="Times New Roman" w:hAnsi="AngsanaUPC" w:cs="AngsanaUPC"/>
        </w:rPr>
        <w:t xml:space="preserve">My Maths, </w:t>
      </w:r>
      <w:r w:rsidRPr="009E2853">
        <w:rPr>
          <w:rFonts w:ascii="AngsanaUPC" w:eastAsia="Times New Roman" w:hAnsi="AngsanaUPC" w:cs="AngsanaUPC"/>
          <w:cs/>
        </w:rPr>
        <w:t xml:space="preserve">นิตยสาร </w:t>
      </w:r>
      <w:r w:rsidRPr="009E2853">
        <w:rPr>
          <w:rFonts w:ascii="AngsanaUPC" w:eastAsia="Times New Roman" w:hAnsi="AngsanaUPC" w:cs="AngsanaUPC"/>
        </w:rPr>
        <w:t xml:space="preserve">Update, </w:t>
      </w:r>
      <w:r w:rsidRPr="009E2853">
        <w:rPr>
          <w:rFonts w:ascii="AngsanaUPC" w:eastAsia="Times New Roman" w:hAnsi="AngsanaUPC" w:cs="AngsanaUPC"/>
          <w:cs/>
        </w:rPr>
        <w:t>นิตยสารวิภาษา</w:t>
      </w:r>
      <w:r w:rsidRPr="009E2853">
        <w:rPr>
          <w:rFonts w:ascii="AngsanaUPC" w:eastAsia="Times New Roman" w:hAnsi="AngsanaUPC" w:cs="AngsanaUPC"/>
        </w:rPr>
        <w:t xml:space="preserve">, </w:t>
      </w:r>
      <w:r w:rsidRPr="009E2853">
        <w:rPr>
          <w:rFonts w:ascii="AngsanaUPC" w:eastAsia="Times New Roman" w:hAnsi="AngsanaUPC" w:cs="AngsanaUPC"/>
          <w:cs/>
        </w:rPr>
        <w:t>นิตยสารโหรามหาเวทย์</w:t>
      </w:r>
    </w:p>
    <w:p w:rsidR="009E2853" w:rsidRPr="009A64F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อาจารย์ประจำ คณะมนุษยศาสตร์และสังคมศาสตร์ มหาวิทยาลัยราชภัฏสกลนคร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บทความวิจัย</w:t>
      </w:r>
    </w:p>
    <w:p w:rsidR="009E2853" w:rsidRPr="009A64F3" w:rsidRDefault="009E2853" w:rsidP="009E2853">
      <w:pPr>
        <w:ind w:firstLine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2556. "</w:t>
      </w:r>
      <w:r w:rsidRPr="009A64F3">
        <w:rPr>
          <w:rFonts w:ascii="AngsanaUPC" w:hAnsi="AngsanaUPC" w:cs="AngsanaUPC"/>
          <w:cs/>
        </w:rPr>
        <w:t xml:space="preserve">การแยกประเภทละครสันสกฤต". จุลสารสาส์นไทย. ปีที่ </w:t>
      </w:r>
      <w:r w:rsidRPr="009A64F3">
        <w:rPr>
          <w:rFonts w:ascii="AngsanaUPC" w:hAnsi="AngsanaUPC" w:cs="AngsanaUPC"/>
        </w:rPr>
        <w:t>1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คำยืมภาษาสันสกฤตในคำฉันท์สรรเสริญพระเกียรติพระพุทธเจ้าหลวงปราสาททอง". จุลสารสาส์นไทย. ปีที่ </w:t>
      </w:r>
      <w:r w:rsidRPr="009A64F3">
        <w:rPr>
          <w:rFonts w:ascii="AngsanaUPC" w:hAnsi="AngsanaUPC" w:cs="AngsanaUPC"/>
        </w:rPr>
        <w:t>2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วิจารณ์หนังสือ </w:t>
      </w:r>
      <w:r w:rsidRPr="009A64F3">
        <w:rPr>
          <w:rFonts w:ascii="AngsanaUPC" w:hAnsi="AngsanaUPC" w:cs="AngsanaUPC"/>
        </w:rPr>
        <w:t>'</w:t>
      </w:r>
      <w:r w:rsidRPr="009A64F3">
        <w:rPr>
          <w:rFonts w:ascii="AngsanaUPC" w:hAnsi="AngsanaUPC" w:cs="AngsanaUPC"/>
          <w:cs/>
        </w:rPr>
        <w:t>การวิจารณ์บนเส้นทางวรรณคดีศึกษา</w:t>
      </w:r>
      <w:r w:rsidRPr="009A64F3">
        <w:rPr>
          <w:rFonts w:ascii="AngsanaUPC" w:hAnsi="AngsanaUPC" w:cs="AngsanaUPC"/>
        </w:rPr>
        <w:t xml:space="preserve">' ". </w:t>
      </w:r>
      <w:r w:rsidRPr="009A64F3">
        <w:rPr>
          <w:rFonts w:ascii="AngsanaUPC" w:hAnsi="AngsanaUPC" w:cs="AngsanaUPC"/>
          <w:cs/>
        </w:rPr>
        <w:t xml:space="preserve">วารสารมหาวิทยาลัยราชภัฏสกลนคร. ปีที่ </w:t>
      </w:r>
      <w:r w:rsidRPr="009A64F3">
        <w:rPr>
          <w:rFonts w:ascii="AngsanaUPC" w:hAnsi="AngsanaUPC" w:cs="AngsanaUPC"/>
        </w:rPr>
        <w:t>6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12</w:t>
      </w:r>
      <w:r w:rsidRPr="009A64F3">
        <w:rPr>
          <w:rFonts w:ascii="AngsanaUPC" w:hAnsi="AngsanaUPC" w:cs="AngsanaUPC"/>
          <w:cs/>
        </w:rPr>
        <w:t xml:space="preserve"> กรกฎาคม-ธันวาคม </w:t>
      </w:r>
      <w:r w:rsidRPr="009A64F3">
        <w:rPr>
          <w:rFonts w:ascii="AngsanaUPC" w:hAnsi="AngsanaUPC" w:cs="AngsanaUPC"/>
        </w:rPr>
        <w:t>2557.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การนำเสนองานวิจัย</w:t>
      </w:r>
    </w:p>
    <w:p w:rsidR="009E2853" w:rsidRPr="009A64F3" w:rsidRDefault="009E2853" w:rsidP="009E2853">
      <w:pPr>
        <w:ind w:left="720"/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2554. </w:t>
      </w:r>
      <w:r w:rsidRPr="009A64F3">
        <w:rPr>
          <w:rFonts w:ascii="AngsanaUPC" w:eastAsia="Times New Roman" w:hAnsi="AngsanaUPC" w:cs="AngsanaUPC"/>
          <w:cs/>
        </w:rPr>
        <w:t xml:space="preserve">การประชุมวิชาการบัณฑิตศึกษาระดับชาติและนานาชาติ ครั้งที่ </w:t>
      </w:r>
      <w:r w:rsidRPr="009A64F3">
        <w:rPr>
          <w:rFonts w:ascii="AngsanaUPC" w:eastAsia="Times New Roman" w:hAnsi="AngsanaUPC" w:cs="AngsanaUPC"/>
        </w:rPr>
        <w:t xml:space="preserve">2. </w:t>
      </w:r>
      <w:r w:rsidRPr="009A64F3">
        <w:rPr>
          <w:rFonts w:ascii="AngsanaUPC" w:eastAsia="Times New Roman" w:hAnsi="AngsanaUPC" w:cs="AngsanaUPC"/>
          <w:cs/>
        </w:rPr>
        <w:t>บัณฑิตวิทยาลัย มหาวิทยาลัยศิลปากร. "คำบอกบทในละครสันสกฤต อภิชฺญานศากุนฺตลมฺ"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2556. </w:t>
      </w:r>
      <w:r w:rsidRPr="009A64F3">
        <w:rPr>
          <w:rFonts w:ascii="AngsanaUPC" w:hAnsi="AngsanaUPC" w:cs="AngsanaUPC"/>
          <w:cs/>
        </w:rPr>
        <w:t xml:space="preserve">การประชุมวิชาการและนำเสนอผลงานวิจัยนานาชาติ ครั้งที่ </w:t>
      </w:r>
      <w:r w:rsidRPr="009A64F3">
        <w:rPr>
          <w:rFonts w:ascii="AngsanaUPC" w:hAnsi="AngsanaUPC" w:cs="AngsanaUPC"/>
        </w:rPr>
        <w:t xml:space="preserve">6. CEWEC 6. </w:t>
      </w:r>
      <w:r w:rsidRPr="009A64F3">
        <w:rPr>
          <w:rFonts w:ascii="AngsanaUPC" w:hAnsi="AngsanaUPC" w:cs="AngsanaUPC"/>
          <w:cs/>
        </w:rPr>
        <w:t>มหาวิทยาลัยราชภัฏสกลนคร. "สวนกวางในพุทธประวัติ : การศึกษาเชิงประวัติและศัพทมูลวิทยา"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2557. 10th International Conference on Humanities &amp; Social Sciences 2014. IC-HUSO 2014. </w:t>
      </w:r>
      <w:r w:rsidRPr="009A64F3">
        <w:rPr>
          <w:rFonts w:ascii="AngsanaUPC" w:hAnsi="AngsanaUPC" w:cs="AngsanaUPC"/>
          <w:cs/>
        </w:rPr>
        <w:t>มหาวิทยาลัยขอนแก่น. "การสำรวจบทละครสันสกฤตที่แปลและ/หรือแปลงเป็นภาษาไทย</w:t>
      </w:r>
      <w:r w:rsidRPr="009A64F3">
        <w:rPr>
          <w:rFonts w:ascii="AngsanaUPC" w:hAnsi="AngsanaUPC" w:cs="AngsanaUPC"/>
          <w:cs/>
        </w:rPr>
        <w:t>"</w:t>
      </w: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E6027F" w:rsidRPr="009A64F3" w:rsidRDefault="00E6027F" w:rsidP="009A64F3">
      <w:pPr>
        <w:jc w:val="center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lastRenderedPageBreak/>
        <w:t>อาจารย์ ดร. ชานป์วิชช์ ทัดแก้ว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คุณวุฒิ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อ.บ. เกียรตินิยมอันดับหนึ่ง (ภาษาบาลีและสันสกฤต)</w:t>
      </w:r>
      <w:r w:rsidRPr="009A64F3">
        <w:rPr>
          <w:rFonts w:ascii="AngsanaUPC" w:eastAsia="Times New Roman" w:hAnsi="AngsanaUPC" w:cs="AngsanaUPC"/>
        </w:rPr>
        <w:t xml:space="preserve">, </w:t>
      </w:r>
      <w:r w:rsidRPr="009A64F3">
        <w:rPr>
          <w:rFonts w:ascii="AngsanaUPC" w:eastAsia="Times New Roman" w:hAnsi="AngsanaUPC" w:cs="AngsanaUPC"/>
          <w:cs/>
        </w:rPr>
        <w:t>จุฬาลงกรณ์มหาวิทยาลัย</w:t>
      </w:r>
      <w:r w:rsidRPr="009A64F3">
        <w:rPr>
          <w:rFonts w:ascii="AngsanaUPC" w:eastAsia="Times New Roman" w:hAnsi="AngsanaUPC" w:cs="AngsanaUPC"/>
        </w:rPr>
        <w:t xml:space="preserve">, </w:t>
      </w:r>
      <w:r w:rsidRPr="009A64F3">
        <w:rPr>
          <w:rFonts w:ascii="AngsanaUPC" w:eastAsia="Times New Roman" w:hAnsi="AngsanaUPC" w:cs="AngsanaUPC"/>
          <w:cs/>
        </w:rPr>
        <w:t>พ.ศ. 2540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M.A. (Buddhist Studies), Kyoto University/ Japan, </w:t>
      </w:r>
      <w:r w:rsidRPr="009A64F3">
        <w:rPr>
          <w:rFonts w:ascii="AngsanaUPC" w:eastAsia="Times New Roman" w:hAnsi="AngsanaUPC" w:cs="AngsanaUPC"/>
          <w:cs/>
        </w:rPr>
        <w:t>2547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Ph.D. (Indology, Tibetology), Ludwig-Maximilian Universität, München, Germany,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2553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ผลงานด้านวิชาการ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งานวิจัย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“The Relationship between the early Chinese translation and Central Asian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versions of the Ratnaketuparivarta” in Thai International Journal of Buddhist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Studies </w:t>
      </w:r>
      <w:r w:rsidRPr="009A64F3">
        <w:rPr>
          <w:rFonts w:ascii="AngsanaUPC" w:eastAsia="Times New Roman" w:hAnsi="AngsanaUPC" w:cs="AngsanaUPC"/>
          <w:cs/>
        </w:rPr>
        <w:t>3 (2012)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บทความ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 xml:space="preserve">ชานป์วิชช์ทัดแก้ว. </w:t>
      </w:r>
      <w:r w:rsidRPr="009A64F3">
        <w:rPr>
          <w:rFonts w:ascii="AngsanaUPC" w:eastAsia="Times New Roman" w:hAnsi="AngsanaUPC" w:cs="AngsanaUPC"/>
        </w:rPr>
        <w:t>“</w:t>
      </w:r>
      <w:r w:rsidRPr="009A64F3">
        <w:rPr>
          <w:rFonts w:ascii="AngsanaUPC" w:eastAsia="Times New Roman" w:hAnsi="AngsanaUPC" w:cs="AngsanaUPC"/>
          <w:cs/>
        </w:rPr>
        <w:t>มิติทางประวัติศาสตร์และสถานะของพุทธศาสนาลังกาวงศ์ ในประวัติพุทธศาสนาใน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ดินแดนไทย</w:t>
      </w:r>
      <w:r w:rsidRPr="009A64F3">
        <w:rPr>
          <w:rFonts w:ascii="AngsanaUPC" w:eastAsia="Times New Roman" w:hAnsi="AngsanaUPC" w:cs="AngsanaUPC"/>
        </w:rPr>
        <w:t xml:space="preserve">” </w:t>
      </w:r>
      <w:r w:rsidRPr="009A64F3">
        <w:rPr>
          <w:rFonts w:ascii="AngsanaUPC" w:eastAsia="Times New Roman" w:hAnsi="AngsanaUPC" w:cs="AngsanaUPC"/>
          <w:cs/>
        </w:rPr>
        <w:t xml:space="preserve">ใน </w:t>
      </w:r>
      <w:r w:rsidRPr="009A64F3">
        <w:rPr>
          <w:rFonts w:ascii="AngsanaUPC" w:eastAsia="Times New Roman" w:hAnsi="AngsanaUPC" w:cs="AngsanaUPC"/>
        </w:rPr>
        <w:t>Journal of WUCAS II (</w:t>
      </w:r>
      <w:r w:rsidRPr="009A64F3">
        <w:rPr>
          <w:rFonts w:ascii="AngsanaUPC" w:eastAsia="Times New Roman" w:hAnsi="AngsanaUPC" w:cs="AngsanaUPC"/>
          <w:cs/>
        </w:rPr>
        <w:t>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J.-U. Hartmann &amp; Chanwit Tudkeao.“Three Sanskrit Fragments of Ratnaketuparivarta” in The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British Library Sanskrit Fragments vol. II (</w:t>
      </w:r>
      <w:r w:rsidRPr="009A64F3">
        <w:rPr>
          <w:rFonts w:ascii="AngsanaUPC" w:eastAsia="Times New Roman" w:hAnsi="AngsanaUPC" w:cs="AngsanaUPC"/>
          <w:cs/>
        </w:rPr>
        <w:t>2009)</w:t>
      </w:r>
      <w:r w:rsidRPr="009A64F3">
        <w:rPr>
          <w:rFonts w:ascii="AngsanaUPC" w:eastAsia="Times New Roman" w:hAnsi="AngsanaUPC" w:cs="AngsanaUPC"/>
        </w:rPr>
        <w:t xml:space="preserve">, pp. </w:t>
      </w:r>
      <w:r w:rsidRPr="009A64F3">
        <w:rPr>
          <w:rFonts w:ascii="AngsanaUPC" w:eastAsia="Times New Roman" w:hAnsi="AngsanaUPC" w:cs="AngsanaUPC"/>
          <w:cs/>
        </w:rPr>
        <w:t>589-596.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“Once upon in Buddha Ratna</w:t>
      </w:r>
      <w:r w:rsidRPr="009A64F3">
        <w:rPr>
          <w:rFonts w:ascii="Cambria" w:eastAsia="Times New Roman" w:hAnsi="Cambria" w:cs="Cambria"/>
        </w:rPr>
        <w:t>ś</w:t>
      </w:r>
      <w:r w:rsidRPr="009A64F3">
        <w:rPr>
          <w:rFonts w:ascii="AngsanaUPC" w:eastAsia="Times New Roman" w:hAnsi="AngsanaUPC" w:cs="AngsanaUPC"/>
        </w:rPr>
        <w:t>ikhin’s Life Time” in Journal of Buddhist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Narrative vol. I (Thai Studies, Chulalongkorn University, </w:t>
      </w:r>
      <w:r w:rsidRPr="009A64F3">
        <w:rPr>
          <w:rFonts w:ascii="AngsanaUPC" w:eastAsia="Times New Roman" w:hAnsi="AngsanaUPC" w:cs="AngsanaUPC"/>
          <w:cs/>
        </w:rPr>
        <w:t>2012).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“Sanskrit Fragments of Ratnaketuparivarta in Schøyen Collection” in MSC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Buddhist Manuscripts vol. IV. (</w:t>
      </w:r>
      <w:r w:rsidRPr="009A64F3">
        <w:rPr>
          <w:rFonts w:ascii="AngsanaUPC" w:eastAsia="Times New Roman" w:hAnsi="AngsanaUPC" w:cs="AngsanaUPC"/>
          <w:cs/>
        </w:rPr>
        <w:t>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“The Cult of the book in Mah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y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na Buddhism as seen in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Ratnaketuparivarta” in CHICOS vol. II (</w:t>
      </w:r>
      <w:r w:rsidRPr="009A64F3">
        <w:rPr>
          <w:rFonts w:ascii="AngsanaUPC" w:eastAsia="Times New Roman" w:hAnsi="AngsanaUPC" w:cs="AngsanaUPC"/>
          <w:cs/>
        </w:rPr>
        <w:t>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“The Confusion of Maitreya’s and Mah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kacc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yana’s Iconography in SinoThai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Culture” in Journal of the Second Thai-Sino Conference in Buddhism Conference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(อยู่ในระหว่างการตีพิมพ์).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“A comparative Study of *Ratnasutra” (</w:t>
      </w:r>
      <w:r w:rsidRPr="009A64F3">
        <w:rPr>
          <w:rFonts w:ascii="AngsanaUPC" w:eastAsia="Times New Roman" w:hAnsi="AngsanaUPC" w:cs="AngsanaUPC"/>
          <w:cs/>
        </w:rPr>
        <w:t>อยู่ในระหว่างด าเนินการ).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หัวข้อวิจัยที่สนใจ ภาษาและวรรณคดีทางพุทธศาสนา วรรณคดีเรื่องเล่า การศึกษาตัวบทวรรณกรรมพุทธ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ศาสนาเปรียบเทียบกับแปลส านวนภาษาต่างๆ เช่น ภาษาจีน ภาษาทิเบต การศึกษาและการ</w:t>
      </w:r>
    </w:p>
    <w:p w:rsidR="009E2853" w:rsidRPr="009E2853" w:rsidRDefault="00E6027F" w:rsidP="00E6027F">
      <w:pPr>
        <w:rPr>
          <w:rFonts w:ascii="AngsanaUPC" w:eastAsia="Times New Roman" w:hAnsi="AngsanaUPC" w:cs="AngsanaUPC"/>
          <w:cs/>
        </w:rPr>
      </w:pPr>
      <w:r w:rsidRPr="009A64F3">
        <w:rPr>
          <w:rFonts w:ascii="AngsanaUPC" w:eastAsia="Times New Roman" w:hAnsi="AngsanaUPC" w:cs="AngsanaUPC"/>
          <w:cs/>
        </w:rPr>
        <w:t>ช าระคัมภีร์ต้นฉบับวรรณคดีพุทธศาสนาในอินเดียเหนือ คันธาระ เนปาลและเอเชียกลาง</w:t>
      </w:r>
    </w:p>
    <w:p w:rsidR="009E2853" w:rsidRPr="009E2853" w:rsidRDefault="009E2853" w:rsidP="009E2853">
      <w:pPr>
        <w:rPr>
          <w:rFonts w:ascii="AngsanaUPC" w:eastAsia="Times New Roman" w:hAnsi="AngsanaUPC" w:cs="AngsanaUPC"/>
          <w:cs/>
        </w:rPr>
      </w:pPr>
    </w:p>
    <w:p w:rsidR="009E2853" w:rsidRPr="009E2853" w:rsidRDefault="009E2853" w:rsidP="009E2853">
      <w:pPr>
        <w:rPr>
          <w:rFonts w:ascii="AngsanaUPC" w:eastAsia="Times New Roman" w:hAnsi="AngsanaUPC" w:cs="AngsanaUPC"/>
          <w:cs/>
        </w:rPr>
      </w:pPr>
    </w:p>
    <w:p w:rsidR="009E2853" w:rsidRPr="009E2853" w:rsidRDefault="009E2853" w:rsidP="009E2853">
      <w:pPr>
        <w:rPr>
          <w:rFonts w:ascii="AngsanaUPC" w:eastAsia="Times New Roman" w:hAnsi="AngsanaUPC" w:cs="AngsanaUPC"/>
          <w:cs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sectPr w:rsidR="00C919D9" w:rsidRPr="009A64F3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1BF" w:rsidRDefault="005971BF">
      <w:r>
        <w:separator/>
      </w:r>
    </w:p>
  </w:endnote>
  <w:endnote w:type="continuationSeparator" w:id="0">
    <w:p w:rsidR="005971BF" w:rsidRDefault="0059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1BF" w:rsidRDefault="005971BF">
      <w:r>
        <w:separator/>
      </w:r>
    </w:p>
  </w:footnote>
  <w:footnote w:type="continuationSeparator" w:id="0">
    <w:p w:rsidR="005971BF" w:rsidRDefault="00597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1B0BC2"/>
    <w:rsid w:val="00217970"/>
    <w:rsid w:val="002C7822"/>
    <w:rsid w:val="003357FB"/>
    <w:rsid w:val="005971BF"/>
    <w:rsid w:val="006F74FD"/>
    <w:rsid w:val="00857789"/>
    <w:rsid w:val="00883676"/>
    <w:rsid w:val="008E56E9"/>
    <w:rsid w:val="009A64F3"/>
    <w:rsid w:val="009E2853"/>
    <w:rsid w:val="00B948C7"/>
    <w:rsid w:val="00C20837"/>
    <w:rsid w:val="00C919D9"/>
    <w:rsid w:val="00E6027F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31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6</cp:revision>
  <cp:lastPrinted>1899-12-31T17:00:00Z</cp:lastPrinted>
  <dcterms:created xsi:type="dcterms:W3CDTF">2015-05-24T08:53:00Z</dcterms:created>
  <dcterms:modified xsi:type="dcterms:W3CDTF">2016-05-11T17:35:00Z</dcterms:modified>
</cp:coreProperties>
</file>