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 w:hint="cs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006FB0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="00006FB0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="00006FB0">
        <w:rPr>
          <w:rFonts w:ascii="AngsanaUPC" w:hAnsi="AngsanaUPC" w:cs="AngsanaUPC"/>
          <w:sz w:val="32"/>
          <w:szCs w:val="32"/>
          <w:cs/>
        </w:rPr>
        <w:t>พันธ</w:t>
      </w:r>
      <w:r w:rsidR="00006FB0">
        <w:rPr>
          <w:rFonts w:ascii="AngsanaUPC" w:hAnsi="AngsanaUPC" w:cs="AngsanaUPC" w:hint="cs"/>
          <w:sz w:val="32"/>
          <w:szCs w:val="32"/>
          <w:cs/>
        </w:rPr>
        <w:t>ุ์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 w:rsidR="00163069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bookmarkStart w:id="0" w:name="_GoBack"/>
      <w:bookmarkEnd w:id="0"/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1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1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3E74E0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ญ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7"/>
        <w:gridCol w:w="7127"/>
        <w:gridCol w:w="621"/>
      </w:tblGrid>
      <w:tr w:rsidR="002400A4" w:rsidRPr="00FF45CA" w:rsidTr="001E2E01">
        <w:tc>
          <w:tcPr>
            <w:tcW w:w="747" w:type="dxa"/>
          </w:tcPr>
          <w:p w:rsidR="002400A4" w:rsidRPr="00FF45CA" w:rsidRDefault="002400A4" w:rsidP="002400A4">
            <w:pPr>
              <w:jc w:val="both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127" w:type="dxa"/>
          </w:tcPr>
          <w:p w:rsidR="002400A4" w:rsidRPr="00FF45CA" w:rsidRDefault="002400A4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2400A4" w:rsidRPr="00FF45CA" w:rsidRDefault="002400A4" w:rsidP="001E2E01">
            <w:pPr>
              <w:jc w:val="center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E2E01">
        <w:tc>
          <w:tcPr>
            <w:tcW w:w="747" w:type="dxa"/>
          </w:tcPr>
          <w:p w:rsidR="00FF45CA" w:rsidRPr="00FF45CA" w:rsidRDefault="00FF45CA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621" w:type="dxa"/>
          </w:tcPr>
          <w:p w:rsidR="00FF45CA" w:rsidRPr="00FF45CA" w:rsidRDefault="00FF45CA" w:rsidP="001E2E01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การเปรียบเทียบรูปสระ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การเปรียบเทียบรูปพยัญชนะวรรค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พยัญชนะอ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การเปรียบเทียบรูปเครื่องหมายและสัญลักษณ์พิเศษ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การเปรียบเทียบรูปตัวเลข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eaio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au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ที่ประสมอยู่พยัญชนะต้นอักษรโรมัน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ตัวอย่างการถอดรูปสระอักษรโรมันขึ้นต้นคำ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ตัวอย่างการถอดรูปพยัญชนะอักษรโรมันที่ไม่มีสระอักษรโรมันกำกับ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ตัวอย่างการถอดรูปพยัญชนะอักษรโรมันที่ประสมด้วยสระ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ṛ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ṝ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ḷ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ḹ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ตัวอย่างการถอดรูปเครื่องหมายอนุสวาระ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ตัวอย่างการถอดรูปรูปเครื่องหมาย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ทุหรืออนุนาสิกะ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22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ตัวอย่างการถอดรูปชุดพยัญชนะอักษรโรมันที่เป็นพยัญชนะสังโยค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y r l v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r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ตัวอย่างการถอดรูปพยัญชนะหรือสระที่ไม่คำนึงถึงพยัญชนะสังโยค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สรุปตัวอย่างการตัวอย่างการถอดรูปพยัญชนะสังโยคแบบต่างๆ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ตามด้วยพยัญชนะ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r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v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h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ตัวอย่างการถอดรูปอนุสวาระที่ไม่มีพยัญชนะโรมันอื่นตามติดมา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ตัวอย่างการถอดรูปอนุสวาระแบบสนธิมีพยัญชนะวรรคตาม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ตัวอย่างการถอดรูปอนุสวาระแบบไม่สนธิมีพยัญชนะตามแบบ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2400A4" w:rsidRDefault="001E2E01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1E2E01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1E2E01" w:rsidRDefault="001E2E01" w:rsidP="002400A4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ตัวอย่างการถอดรูปอนุสวาระและมีพยัญชนะตามแบบ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อันตัส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ถะ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  <w:r w:rsidR="001E2E01">
              <w:rPr>
                <w:rFonts w:ascii="AngsanaUPC" w:eastAsiaTheme="minorHAnsi" w:hAnsi="AngsanaUPC" w:cs="AngsanaUPC"/>
                <w:sz w:val="32"/>
                <w:szCs w:val="32"/>
              </w:rPr>
              <w:t>0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1E2E01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ตัวอย่างการถอดรูปพยัญชนะสังโยคแบบคำที่ใช้ในภาษาไทย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ตัวอย่างการถอดรูปพยัญชนะสังโยคแบบคำควบกล้ำไทย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สัญลักษณ์ประกอบขั้นตอนวิธีของกฎการปริวรรต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การพิสูจน์ขั้นตอนวิธี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Algorithm)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ในการปริวรรตอักษร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3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วิธี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63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ผลการทดสอบประสิทธิภาพของระบบ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ผลการประเมินตารางการเปรียบเทียบผลการปริวรรต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ผลการประเมินตารางการเปรียบเทียบอักษร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ผลการประเมินด้านความง่ายต่อการใช้งานระบบ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Usability)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80</w:t>
            </w:r>
          </w:p>
        </w:tc>
      </w:tr>
    </w:tbl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7257"/>
        <w:gridCol w:w="621"/>
      </w:tblGrid>
      <w:tr w:rsidR="00FF45CA" w:rsidRPr="00FF45CA" w:rsidTr="001B112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B112B">
        <w:tc>
          <w:tcPr>
            <w:tcW w:w="567" w:type="dxa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257" w:type="dxa"/>
            <w:vAlign w:val="center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ตัวอย่างการเขียนภาษาสันสกฤตด้วยอักษรชนิดต่างๆ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ตัวอย่างการเขียนภาษาสันสกฤตด้วยอักษรโรมันแบบต่างๆ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ตัวอย่างจารึกภาษาสันสกฤตในประเทศไทย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1B112B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การปริวรรตอักษรภาษาสันสกฤตเป็นอักษรโรมันตามข้อเสนอของบุคคลต่างๆ        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บางส่วนในรายงานมติที่ประชุม เรื่องการปริวรรตอักษรภาษาสันสกฤตและบาลี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2.6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การปริวรรตอักษรภาษาสันสกฤตแบบโรมัน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IAST 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เป็นไทยรูปแบบต่างๆ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14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2.7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ตัวอย่างลักษณะพยัญชนะสังโยค อักษรเท</w:t>
            </w:r>
            <w:proofErr w:type="spellStart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วนาค</w:t>
            </w:r>
            <w:proofErr w:type="spellEnd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รีเทียบกับอักษรโรมัน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18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ผลลัพธ์หลังจากการพัฒนาตัวต้นแบบการปริวรรตอักษร (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โครงสร้างใน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class diagram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หน้าแรกของตัวระบบ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หน้าปริวรรตอักษรส่วนฟอร์มรับข้อมูล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หน้าปริวรรตอักษรส่วนตารางเปรียบเทียบผลการปริวรรต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หน้าปริวรรตอักษรส่วนตารางเปรียบเทียบตัวอักษร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หน้าหลักตัวอย่างการปริวรรตอักษร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4.6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หน้าตัวอย่างการปริวรรต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627" w:rsidRDefault="00021627">
      <w:r>
        <w:separator/>
      </w:r>
    </w:p>
  </w:endnote>
  <w:endnote w:type="continuationSeparator" w:id="0">
    <w:p w:rsidR="00021627" w:rsidRDefault="0002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627" w:rsidRDefault="00021627">
      <w:r>
        <w:separator/>
      </w:r>
    </w:p>
  </w:footnote>
  <w:footnote w:type="continuationSeparator" w:id="0">
    <w:p w:rsidR="00021627" w:rsidRDefault="00021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163069">
      <w:rPr>
        <w:rStyle w:val="PageNumber"/>
        <w:rFonts w:ascii="Angsana New" w:hAnsi="Angsana New" w:cs="Angsana New"/>
        <w:noProof/>
        <w:sz w:val="32"/>
        <w:cs/>
      </w:rPr>
      <w:t>ญ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06FB0"/>
    <w:rsid w:val="00015F39"/>
    <w:rsid w:val="00021627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63069"/>
    <w:rsid w:val="00173831"/>
    <w:rsid w:val="001A137A"/>
    <w:rsid w:val="001B112B"/>
    <w:rsid w:val="001B7C46"/>
    <w:rsid w:val="001E2E01"/>
    <w:rsid w:val="001E2EE0"/>
    <w:rsid w:val="001F2035"/>
    <w:rsid w:val="00236EC8"/>
    <w:rsid w:val="002400A4"/>
    <w:rsid w:val="00282D87"/>
    <w:rsid w:val="00293C92"/>
    <w:rsid w:val="00327838"/>
    <w:rsid w:val="0033397D"/>
    <w:rsid w:val="00343994"/>
    <w:rsid w:val="003612A6"/>
    <w:rsid w:val="003E74E0"/>
    <w:rsid w:val="0040316F"/>
    <w:rsid w:val="00407151"/>
    <w:rsid w:val="004B0C8C"/>
    <w:rsid w:val="004B3018"/>
    <w:rsid w:val="005F0AC1"/>
    <w:rsid w:val="00601F94"/>
    <w:rsid w:val="00615964"/>
    <w:rsid w:val="00673524"/>
    <w:rsid w:val="00684D93"/>
    <w:rsid w:val="00692816"/>
    <w:rsid w:val="006B02E7"/>
    <w:rsid w:val="00716878"/>
    <w:rsid w:val="007379BF"/>
    <w:rsid w:val="007647D8"/>
    <w:rsid w:val="007C4A07"/>
    <w:rsid w:val="00826597"/>
    <w:rsid w:val="00850194"/>
    <w:rsid w:val="008551E1"/>
    <w:rsid w:val="00892384"/>
    <w:rsid w:val="008C0B22"/>
    <w:rsid w:val="008C2110"/>
    <w:rsid w:val="009109CF"/>
    <w:rsid w:val="0097525E"/>
    <w:rsid w:val="00975D38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71712"/>
    <w:rsid w:val="00CF3CC9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9354C-0D4F-42A1-B912-E9E9F1DE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33</cp:revision>
  <dcterms:created xsi:type="dcterms:W3CDTF">2015-05-24T08:42:00Z</dcterms:created>
  <dcterms:modified xsi:type="dcterms:W3CDTF">2016-05-18T04:19:00Z</dcterms:modified>
</cp:coreProperties>
</file>