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A41437">
            <w:pPr>
              <w:jc w:val="both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5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2.1.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ab/>
              <w:t>ทฤษฎีที่เกี่ยวข้อง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2.1.1 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2.1.2 ภาษาสันสกฤต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2.1.3 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2.2.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ab/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2.2.1.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ab/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2.2.2.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ab/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</w:tcPr>
          <w:p w:rsidR="00A41437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44391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2.3.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ab/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</w:tcPr>
          <w:p w:rsidR="0040316F" w:rsidRPr="00A41437" w:rsidRDefault="0040316F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  <w:bookmarkStart w:id="1" w:name="_GoBack"/>
            <w:bookmarkEnd w:id="1"/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การดำเนินการศึกษา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24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แนวทางการศึกษา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24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lastRenderedPageBreak/>
              <w:t>วิธีการนำการสร้างข้อกำหนดความต้องการด้วยตัวอย่างมาใช้กับกระบวนการพัฒนาซอฟต์แวร์แบบ</w:t>
            </w:r>
            <w:proofErr w:type="spellStart"/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สกรัม</w:t>
            </w:r>
            <w:proofErr w:type="spellEnd"/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26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รูปแบบการทดลอง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ประชากรและกลุ่มตัวอย่าง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เครื่องมือที่ใช้ในการศึกษา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ชุดข้อคำถาม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ผลการศึกษา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34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ข้อมูลกลุ่มทดลอง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ผลการทดลอง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ค่าตัวชี้วัด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ค่าจากการสัมภาษณ์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40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ผลสรุปงานและข้อเสนอแนะ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47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ก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 ข</w:t>
            </w:r>
          </w:p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50</w:t>
            </w:r>
          </w:p>
        </w:tc>
      </w:tr>
      <w:tr w:rsidR="00A41437" w:rsidRPr="00A41437" w:rsidTr="00F44391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eastAsia="AngsanaNew" w:hAnsi="AngsanaUPC" w:cs="AngsanaUPC"/>
          <w:sz w:val="32"/>
          <w:szCs w:val="32"/>
        </w:rPr>
      </w:pPr>
    </w:p>
    <w:p w:rsidR="00A41437" w:rsidRPr="00A41437" w:rsidRDefault="00A41437" w:rsidP="00A41437">
      <w:pPr>
        <w:rPr>
          <w:rFonts w:ascii="AngsanaUPC" w:hAnsi="AngsanaUPC" w:cs="AngsanaUPC"/>
          <w:sz w:val="32"/>
          <w:szCs w:val="32"/>
          <w:cs/>
        </w:rPr>
      </w:pP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F4" w:rsidRDefault="00B30CF4">
      <w:r>
        <w:separator/>
      </w:r>
    </w:p>
  </w:endnote>
  <w:endnote w:type="continuationSeparator" w:id="0">
    <w:p w:rsidR="00B30CF4" w:rsidRDefault="00B3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F4" w:rsidRDefault="00B30CF4">
      <w:r>
        <w:separator/>
      </w:r>
    </w:p>
  </w:footnote>
  <w:footnote w:type="continuationSeparator" w:id="0">
    <w:p w:rsidR="00B30CF4" w:rsidRDefault="00B30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40316F">
      <w:rPr>
        <w:rStyle w:val="PageNumber"/>
        <w:rFonts w:ascii="Angsana New" w:hAnsi="Angsana New" w:cs="Angsana New"/>
        <w:noProof/>
        <w:sz w:val="32"/>
        <w:cs/>
      </w:rPr>
      <w:t>ฉ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E2EE0"/>
    <w:rsid w:val="00236EC8"/>
    <w:rsid w:val="00282D87"/>
    <w:rsid w:val="00327838"/>
    <w:rsid w:val="0033397D"/>
    <w:rsid w:val="0040316F"/>
    <w:rsid w:val="00407151"/>
    <w:rsid w:val="005F0AC1"/>
    <w:rsid w:val="00615964"/>
    <w:rsid w:val="00673524"/>
    <w:rsid w:val="00692816"/>
    <w:rsid w:val="007379BF"/>
    <w:rsid w:val="007647D8"/>
    <w:rsid w:val="007C4A07"/>
    <w:rsid w:val="00850194"/>
    <w:rsid w:val="008551E1"/>
    <w:rsid w:val="00892384"/>
    <w:rsid w:val="008C0B22"/>
    <w:rsid w:val="008C2110"/>
    <w:rsid w:val="00A312AE"/>
    <w:rsid w:val="00A41437"/>
    <w:rsid w:val="00A6782C"/>
    <w:rsid w:val="00AC14AB"/>
    <w:rsid w:val="00AE65F5"/>
    <w:rsid w:val="00AF0E5C"/>
    <w:rsid w:val="00B30CF4"/>
    <w:rsid w:val="00B36278"/>
    <w:rsid w:val="00B46FE1"/>
    <w:rsid w:val="00BB3B84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FB5D-6BAE-49F1-AC71-FB4831D1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11</cp:revision>
  <dcterms:created xsi:type="dcterms:W3CDTF">2015-05-24T08:42:00Z</dcterms:created>
  <dcterms:modified xsi:type="dcterms:W3CDTF">2016-05-17T08:35:00Z</dcterms:modified>
</cp:coreProperties>
</file>