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C0993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4B0C8C" w:rsidRPr="00A41437" w:rsidTr="00FC0993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1F2035" w:rsidRDefault="00FC0993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FC0993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FC0993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684D93" w:rsidRDefault="00FC0993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C71712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FC0993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FC0993">
            <w:pPr>
              <w:jc w:val="right"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</w:p>
        </w:tc>
      </w:tr>
    </w:tbl>
    <w:p w:rsidR="00FF45CA" w:rsidRDefault="00FF45CA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FF45CA" w:rsidRDefault="00FF45CA">
      <w:pPr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tabs>
          <w:tab w:val="center" w:pos="4252"/>
          <w:tab w:val="left" w:pos="5502"/>
        </w:tabs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รายการตาราง</w:t>
      </w:r>
    </w:p>
    <w:p w:rsidR="00FF45CA" w:rsidRPr="00FF45CA" w:rsidRDefault="00FF45CA" w:rsidP="00FF45CA">
      <w:pPr>
        <w:tabs>
          <w:tab w:val="center" w:pos="4252"/>
          <w:tab w:val="left" w:pos="5502"/>
        </w:tabs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rtl/>
          <w: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7127"/>
        <w:gridCol w:w="621"/>
      </w:tblGrid>
      <w:tr w:rsidR="002400A4" w:rsidRPr="00FF45CA" w:rsidTr="002400A4">
        <w:tc>
          <w:tcPr>
            <w:tcW w:w="747" w:type="dxa"/>
          </w:tcPr>
          <w:p w:rsidR="002400A4" w:rsidRPr="00FF45CA" w:rsidRDefault="002400A4" w:rsidP="002400A4">
            <w:pPr>
              <w:jc w:val="both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127" w:type="dxa"/>
          </w:tcPr>
          <w:p w:rsidR="002400A4" w:rsidRPr="00FF45CA" w:rsidRDefault="002400A4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2400A4" w:rsidRPr="00FF45CA" w:rsidRDefault="002400A4" w:rsidP="002400A4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2400A4">
        <w:tc>
          <w:tcPr>
            <w:tcW w:w="747" w:type="dxa"/>
          </w:tcPr>
          <w:p w:rsidR="00FF45CA" w:rsidRPr="00FF45CA" w:rsidRDefault="00FF45CA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ตัวชี้วัดสำหรับการวัดทีมพัฒนาซอฟต์แวร์</w:t>
            </w:r>
          </w:p>
        </w:tc>
        <w:tc>
          <w:tcPr>
            <w:tcW w:w="621" w:type="dxa"/>
          </w:tcPr>
          <w:p w:rsidR="00FF45CA" w:rsidRPr="00FF45CA" w:rsidRDefault="00FF45CA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9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การเปรียบเทียบรูปสระ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15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การเปรียบเทียบรูปพยัญชนะวรรค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พยัญชนะอ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วรรค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2.4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การเปรียบเทียบรูปเครื่องหมายและสัญลักษณ์พิเศษ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17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2.5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การเปรียบเทียบรูปตัวเลข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18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2.6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19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2.7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eaio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au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ที่ประสมอยู่พยัญชนะต้นอักษรโรมัน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2.8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ตัวอย่างการถอดรูปสระอักษรโรมันขึ้นต้นคำ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2.9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ตัวอย่างการถอดรูปพยัญชนะอักษรโรมันที่ไม่มีสระอักษรโรมันกำกับ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ตัวอย่างการถอดรูปพยัญชนะอักษรโรมันที่ประสมด้วยสระ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ṛ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ṝ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ḷ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2.11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ตัวอย่างการถอดรูปเครื่องหมายอนุสวาระ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2.12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ตัวอย่างการถอดรูปรูปเครื่องหมาย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ทุหรืออนุนาสิกะ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2.13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22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2.14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ตัวอย่างการถอดรูปชุดพยัญชนะอักษรโรมันที่เป็นพยัญชนะสังโยค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2.15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y r l v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ṣ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2.16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r 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2.17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ตัวอย่างการถอดรูปพยัญชนะหรือสระที่ไม่คำนึงถึงพยัญชนะสังโยค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2.18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สรุปตัวอย่างการตัวอย่างการถอดรูปพยัญชนะสังโยคแบบต่างๆ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2.19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25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ขึ้นต้นคำ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2.21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ตามด้วยพยัญชนะ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2.22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r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2.23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v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2.24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h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2.25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ตัวอย่างการถอดรูปอนุสวาระที่ไม่มีพยัญชนะโรมันอื่นตามติดมา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2.26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ตัวอย่างการถอดรูปอนุสวาระแบบสนธิมีพยัญชนะวรรคตาม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2.27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lastRenderedPageBreak/>
              <w:t>2.28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ตัวอย่างการถอดรูปอนุสวาระแบบไม่สนธิมีพยัญชนะตามแบบ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2.29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ตัวอย่างการถอดรูปอนุสวาระและมีพยัญชนะตามแบบ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อันตัส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ถะ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2.31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ตัวอย่างการถอดรูปพยัญชนะสังโยคแบบคำที่ใช้ในภาษาไทย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2.32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ตัวอย่างการถอดรูปพยัญชนะสังโยคแบบคำควบกล้ำไทย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สัญลักษณ์ประกอบขั้นตอนวิธีของกฎการปริวรรต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46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กำหนดกฎการปริวรรตอักษรไทยแบบคงรูป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48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3.3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49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3.4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การพิสูจน์ขั้นตอนวิธี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Algorithm)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ในการปริวรรตอักษร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3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วิธี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63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75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ผลการทดสอบโดยการเปรียบเทียบกับตัวอย่างการปริวรรตแบบปรับรูป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76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ผลการทดสอบประสิทธิภาพของระบบ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77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4.5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ผลการประเมินการปริวรรตจากอักษรโรมันเป็นอักษรไทยแบบคงรูป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4.6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ผลการประเมินการปริวรรตจากอักษรโรมันเป็นอักษรไทยแบบปรับรูป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4.7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ผลการประเมินตารางการเปรียบเทียบผลการปริวรรต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4.8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ผลการประเมินตารางการเปรียบเทียบอักษร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2400A4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4.9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ผลการประเมินด้านความง่ายต่อการใช้งานระบบ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Usability)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80</w:t>
            </w:r>
          </w:p>
        </w:tc>
      </w:tr>
    </w:tbl>
    <w:p w:rsidR="00FF45CA" w:rsidRPr="00FF45CA" w:rsidRDefault="00FF45CA" w:rsidP="00FF45CA">
      <w:pPr>
        <w:rPr>
          <w:rFonts w:ascii="AngsanaUPC" w:eastAsiaTheme="minorHAnsi" w:hAnsi="AngsanaUPC" w:cs="AngsanaUPC"/>
          <w:sz w:val="32"/>
          <w:szCs w:val="32"/>
        </w:rPr>
      </w:pPr>
      <w:r w:rsidRPr="00FF45CA">
        <w:rPr>
          <w:rFonts w:ascii="AngsanaUPC" w:eastAsiaTheme="minorHAnsi" w:hAnsi="AngsanaUPC" w:cs="AngsanaUPC"/>
          <w:sz w:val="32"/>
          <w:szCs w:val="32"/>
        </w:rPr>
        <w:br w:type="page"/>
      </w:r>
      <w:bookmarkStart w:id="1" w:name="_GoBack"/>
      <w:bookmarkEnd w:id="1"/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รายการรูปประกอบ</w:t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7257"/>
        <w:gridCol w:w="621"/>
      </w:tblGrid>
      <w:tr w:rsidR="00FF45CA" w:rsidRPr="00FF45CA" w:rsidTr="001B112B">
        <w:tc>
          <w:tcPr>
            <w:tcW w:w="7824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B112B">
        <w:tc>
          <w:tcPr>
            <w:tcW w:w="567" w:type="dxa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257" w:type="dxa"/>
            <w:vAlign w:val="center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ตัวอย่างการเขียนภาษาสันสกฤตด้วยอักษรชนิดต่างๆ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ตัวอย่างการเขียนภาษาสันสกฤตด้วยอักษรโรมันแบบต่างๆ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ตัวอย่างจารึกภาษาสันสกฤตในประเทศไทย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1B112B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การปริวรรตอักษรภาษาสันสกฤตเป็นอักษรโรมันตามข้อเสนอของบุคคลต่างๆ        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บางส่วนในรายงานมติที่ประชุม เรื่องการปริวรรตอักษรภาษาสันสกฤตและบาลี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2.6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การปริวรรตอักษรภาษาสันสกฤตแบบโรมัน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IAST 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เป็นไทยรูปแบบต่างๆ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14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2.7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ตัวอย่างลักษณะพยัญชนะสังโยค อักษรเท</w:t>
            </w:r>
            <w:proofErr w:type="spellStart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วนาค</w:t>
            </w:r>
            <w:proofErr w:type="spellEnd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รีเทียบกับอักษรโรมัน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18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ผลลัพธ์หลังจากการพัฒนาตัวต้นแบบการปริวรรตอักษร (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โครงสร้างใน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class diagram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หน้าแรกของตัวระบบ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หน้าปริวรรตอักษรส่วนฟอร์มรับข้อมูล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หน้าปริวรรตอักษรส่วนตารางเปรียบเทียบผลการปริวรรต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หน้าปริวรรตอักษรส่วนตารางเปรียบเทียบตัวอักษร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หน้าหลักตัวอย่างการปริวรรตอักษร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4.6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หน้าตัวอย่างการปริวรรต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</w:tbl>
    <w:p w:rsidR="00FF45CA" w:rsidRPr="00FF45CA" w:rsidRDefault="00FF45CA" w:rsidP="00FF45C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975D38" w:rsidRPr="00FF45CA" w:rsidRDefault="00975D38" w:rsidP="00615964">
      <w:pPr>
        <w:ind w:left="980" w:hanging="980"/>
        <w:rPr>
          <w:rFonts w:ascii="AngsanaUPC" w:eastAsia="Calibri" w:hAnsi="AngsanaUPC" w:cs="AngsanaUPC" w:hint="cs"/>
          <w:sz w:val="32"/>
          <w:szCs w:val="32"/>
        </w:rPr>
      </w:pPr>
    </w:p>
    <w:sectPr w:rsidR="00975D38" w:rsidRPr="00FF45CA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8A5" w:rsidRDefault="004E68A5">
      <w:r>
        <w:separator/>
      </w:r>
    </w:p>
  </w:endnote>
  <w:endnote w:type="continuationSeparator" w:id="0">
    <w:p w:rsidR="004E68A5" w:rsidRDefault="004E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8A5" w:rsidRDefault="004E68A5">
      <w:r>
        <w:separator/>
      </w:r>
    </w:p>
  </w:footnote>
  <w:footnote w:type="continuationSeparator" w:id="0">
    <w:p w:rsidR="004E68A5" w:rsidRDefault="004E6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2400A4">
      <w:rPr>
        <w:rStyle w:val="PageNumber"/>
        <w:rFonts w:ascii="Angsana New" w:hAnsi="Angsana New" w:cs="Angsana New"/>
        <w:noProof/>
        <w:sz w:val="32"/>
        <w:cs/>
      </w:rPr>
      <w:t>ญ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15F39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B112B"/>
    <w:rsid w:val="001B7C46"/>
    <w:rsid w:val="001E2EE0"/>
    <w:rsid w:val="001F2035"/>
    <w:rsid w:val="00236EC8"/>
    <w:rsid w:val="002400A4"/>
    <w:rsid w:val="00282D87"/>
    <w:rsid w:val="00293C92"/>
    <w:rsid w:val="00327838"/>
    <w:rsid w:val="0033397D"/>
    <w:rsid w:val="00343994"/>
    <w:rsid w:val="003612A6"/>
    <w:rsid w:val="0040316F"/>
    <w:rsid w:val="00407151"/>
    <w:rsid w:val="004B0C8C"/>
    <w:rsid w:val="004E68A5"/>
    <w:rsid w:val="005F0AC1"/>
    <w:rsid w:val="00601F94"/>
    <w:rsid w:val="00615964"/>
    <w:rsid w:val="00673524"/>
    <w:rsid w:val="00684D93"/>
    <w:rsid w:val="00692816"/>
    <w:rsid w:val="00716878"/>
    <w:rsid w:val="007379BF"/>
    <w:rsid w:val="007647D8"/>
    <w:rsid w:val="007C4A07"/>
    <w:rsid w:val="00850194"/>
    <w:rsid w:val="008551E1"/>
    <w:rsid w:val="00892384"/>
    <w:rsid w:val="008C0B22"/>
    <w:rsid w:val="008C2110"/>
    <w:rsid w:val="009109CF"/>
    <w:rsid w:val="0097525E"/>
    <w:rsid w:val="00975D38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C71712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0993"/>
    <w:rsid w:val="00FC560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FDC72-E0AD-4038-B348-DE5B3DD5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1417</Words>
  <Characters>8082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27</cp:revision>
  <dcterms:created xsi:type="dcterms:W3CDTF">2015-05-24T08:42:00Z</dcterms:created>
  <dcterms:modified xsi:type="dcterms:W3CDTF">2016-05-17T09:49:00Z</dcterms:modified>
</cp:coreProperties>
</file>