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1C" w:rsidRPr="000F22F9" w:rsidRDefault="00CC311C" w:rsidP="00CC311C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CC311C" w:rsidRPr="000F22F9" w:rsidRDefault="00CC311C" w:rsidP="00CC311C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CC311C" w:rsidRPr="000F22F9" w:rsidRDefault="00CC311C" w:rsidP="00CC311C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ธนกฤต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พรหม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ศิริ</w:t>
      </w:r>
      <w:proofErr w:type="spellEnd"/>
    </w:p>
    <w:p w:rsidR="00CC311C" w:rsidRPr="000F22F9" w:rsidRDefault="00CC311C" w:rsidP="00CC311C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CC311C" w:rsidRPr="000F22F9" w:rsidRDefault="00CC311C" w:rsidP="00CC311C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ศาสต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รมหาบัณฑิต</w:t>
      </w:r>
    </w:p>
    <w:p w:rsidR="00CC311C" w:rsidRPr="000F22F9" w:rsidRDefault="00CC311C" w:rsidP="00CC311C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CC311C" w:rsidRPr="000F22F9" w:rsidRDefault="00CC311C" w:rsidP="00CC311C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CC311C" w:rsidRPr="000F22F9" w:rsidRDefault="00CC311C" w:rsidP="00CC311C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CC311C" w:rsidRPr="000F22F9" w:rsidRDefault="00CC311C" w:rsidP="00CC311C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CC311C" w:rsidRPr="000F22F9" w:rsidRDefault="00CC311C" w:rsidP="00CC311C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CC311C" w:rsidRPr="000F22F9" w:rsidRDefault="00CC311C" w:rsidP="00CC311C">
      <w:pPr>
        <w:rPr>
          <w:rFonts w:ascii="AngsanaUPC" w:hAnsi="AngsanaUPC" w:cs="AngsanaUPC"/>
          <w:sz w:val="32"/>
          <w:szCs w:val="32"/>
        </w:rPr>
      </w:pPr>
    </w:p>
    <w:p w:rsidR="00CC311C" w:rsidRDefault="00CC311C" w:rsidP="00CC311C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ๆ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>
        <w:rPr>
          <w:rFonts w:ascii="AngsanaUPC" w:eastAsia="Times New Roman" w:hAnsi="AngsanaUPC" w:cs="AngsanaUPC"/>
          <w:sz w:val="32"/>
          <w:szCs w:val="32"/>
          <w:cs/>
        </w:rPr>
        <w:t xml:space="preserve">ง 98.16 % จากการเปรียบเทียบกับต้นฉบับจำนวน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049 ตัวอักษร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และผู้เชี่ยวชาญด้านภาษาสันสกฤต </w:t>
      </w:r>
      <w:r>
        <w:rPr>
          <w:rFonts w:ascii="AngsanaUPC" w:eastAsia="Times New Roman" w:hAnsi="AngsanaUPC" w:cs="AngsanaUPC"/>
          <w:sz w:val="32"/>
          <w:szCs w:val="32"/>
          <w:cs/>
        </w:rPr>
        <w:t>ได้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ประเมินผล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CC311C" w:rsidRPr="000F22F9" w:rsidRDefault="00CC311C" w:rsidP="00CC311C">
      <w:pPr>
        <w:rPr>
          <w:rFonts w:ascii="AngsanaUPC" w:hAnsi="AngsanaUPC" w:cs="AngsanaUPC"/>
          <w:sz w:val="32"/>
          <w:szCs w:val="32"/>
        </w:rPr>
      </w:pPr>
    </w:p>
    <w:p w:rsidR="00CC311C" w:rsidRDefault="00CC311C" w:rsidP="00CC311C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0639D3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0639D3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 w:rsidR="000639D3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CC311C" w:rsidRDefault="00CC311C" w:rsidP="00CC311C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246B6" w:rsidRPr="00CC458E" w:rsidRDefault="00A246B6" w:rsidP="00A246B6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246B6" w:rsidRPr="00CC458E" w:rsidRDefault="00A246B6" w:rsidP="00A246B6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Credits</w:t>
      </w:r>
      <w:r>
        <w:rPr>
          <w:rFonts w:ascii="AngsanaUPC" w:hAnsi="AngsanaUPC" w:cs="AngsanaUPC"/>
          <w:sz w:val="32"/>
          <w:szCs w:val="32"/>
          <w:cs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246B6" w:rsidRPr="00CC458E" w:rsidRDefault="00A246B6" w:rsidP="00A246B6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Mr. </w:t>
      </w:r>
      <w:proofErr w:type="spellStart"/>
      <w:r>
        <w:rPr>
          <w:rFonts w:ascii="AngsanaUPC" w:hAnsi="AngsanaUPC" w:cs="AngsanaUPC"/>
          <w:sz w:val="32"/>
          <w:szCs w:val="32"/>
        </w:rPr>
        <w:t>Thanakrit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Promsiri</w:t>
      </w:r>
      <w:proofErr w:type="spellEnd"/>
    </w:p>
    <w:p w:rsidR="00A246B6" w:rsidRPr="00CC458E" w:rsidRDefault="00A246B6" w:rsidP="00A246B6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246B6" w:rsidRPr="00CC458E" w:rsidRDefault="00A246B6" w:rsidP="00A246B6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246B6" w:rsidRPr="00CC458E" w:rsidRDefault="00A246B6" w:rsidP="00A246B6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246B6" w:rsidRPr="00CC458E" w:rsidRDefault="00A246B6" w:rsidP="00A246B6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246B6" w:rsidRPr="00CC458E" w:rsidRDefault="00A246B6" w:rsidP="00A246B6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246B6" w:rsidRPr="00CC458E" w:rsidRDefault="00A246B6" w:rsidP="00A246B6">
      <w:pPr>
        <w:rPr>
          <w:rFonts w:ascii="AngsanaUPC" w:hAnsi="AngsanaUPC" w:cs="AngsanaUPC"/>
          <w:sz w:val="32"/>
          <w:szCs w:val="32"/>
        </w:rPr>
      </w:pPr>
    </w:p>
    <w:p w:rsidR="00A246B6" w:rsidRPr="00CC458E" w:rsidRDefault="00A246B6" w:rsidP="00A246B6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246B6" w:rsidRPr="005D4956" w:rsidRDefault="00A246B6" w:rsidP="00A246B6">
      <w:pPr>
        <w:rPr>
          <w:rFonts w:ascii="AngsanaUPC" w:hAnsi="AngsanaUPC" w:cs="AngsanaUPC"/>
          <w:sz w:val="32"/>
          <w:szCs w:val="32"/>
        </w:rPr>
      </w:pPr>
    </w:p>
    <w:p w:rsidR="00A246B6" w:rsidRDefault="00A246B6" w:rsidP="00A246B6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In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study and research in Thailand,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from Sanskrit documents and proofreading is a difficult and time-consuming task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since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documents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contain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a </w:t>
      </w:r>
      <w:r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content. To find solutions,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his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study presented the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Romanized 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– Thai Machine Transliteration,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rules development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Romanized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transliteration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based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on the IAST standard to Thai alphabet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experimental results show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that the proposed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former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98.16 % from 21,399 samples w</w:t>
      </w:r>
      <w:r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hereas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latter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expert in Sanskrit a</w:t>
      </w:r>
      <w:r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ssessed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it and commented that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this system </w:t>
      </w:r>
      <w:r w:rsidRPr="00F932C8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could reasonably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iterate Sanskrit and saved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time in transliteration.</w:t>
      </w:r>
    </w:p>
    <w:p w:rsidR="00A246B6" w:rsidRPr="00CC458E" w:rsidRDefault="00A246B6" w:rsidP="00A246B6">
      <w:pPr>
        <w:rPr>
          <w:rFonts w:ascii="AngsanaUPC" w:hAnsi="AngsanaUPC" w:cs="AngsanaUPC"/>
          <w:sz w:val="32"/>
          <w:szCs w:val="32"/>
        </w:rPr>
      </w:pPr>
    </w:p>
    <w:p w:rsidR="00A246B6" w:rsidRPr="005D4956" w:rsidRDefault="00A246B6" w:rsidP="00A246B6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Sanskrit / </w:t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</w:t>
      </w:r>
    </w:p>
    <w:p w:rsidR="00A246B6" w:rsidRPr="00CC458E" w:rsidRDefault="00A246B6" w:rsidP="00A246B6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246B6" w:rsidRPr="00CC458E" w:rsidRDefault="00A246B6" w:rsidP="00A246B6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246B6" w:rsidRPr="00CC458E" w:rsidRDefault="00A246B6" w:rsidP="00A246B6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246B6" w:rsidRPr="008B141A" w:rsidRDefault="00A246B6" w:rsidP="00A246B6"/>
    <w:p w:rsidR="00A246B6" w:rsidRPr="00655650" w:rsidRDefault="00A246B6" w:rsidP="00A246B6"/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81930" w:rsidRPr="00A81930" w:rsidRDefault="00A81930" w:rsidP="00A81930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81930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81930" w:rsidRPr="00A81930" w:rsidRDefault="00A81930" w:rsidP="00A81930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81930" w:rsidRPr="00A81930" w:rsidRDefault="00A81930" w:rsidP="00AE5148">
      <w:pPr>
        <w:jc w:val="thaiDistribute"/>
        <w:rPr>
          <w:rFonts w:ascii="AngsanaUPC" w:hAnsi="AngsanaUPC" w:cs="AngsanaUPC"/>
          <w:sz w:val="32"/>
          <w:szCs w:val="32"/>
        </w:rPr>
      </w:pPr>
      <w:r w:rsidRPr="00A81930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81930">
        <w:rPr>
          <w:rFonts w:ascii="Angsana New" w:hAnsi="Angsana New"/>
          <w:sz w:val="32"/>
          <w:szCs w:val="32"/>
          <w:cs/>
        </w:rPr>
        <w:t>นพ</w:t>
      </w:r>
      <w:r w:rsidR="00A50194">
        <w:rPr>
          <w:rFonts w:ascii="Angsana New" w:hAnsi="Angsana New"/>
          <w:sz w:val="32"/>
          <w:szCs w:val="32"/>
          <w:cs/>
        </w:rPr>
        <w:t>ร</w:t>
      </w:r>
      <w:proofErr w:type="spellEnd"/>
      <w:r w:rsidR="00A50194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</w:t>
      </w:r>
      <w:r w:rsidRPr="00A81930">
        <w:rPr>
          <w:rFonts w:ascii="Angsana New" w:hAnsi="Angsana New"/>
          <w:sz w:val="32"/>
          <w:szCs w:val="32"/>
          <w:cs/>
        </w:rPr>
        <w:t>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81930">
        <w:rPr>
          <w:rFonts w:ascii="Angsana New" w:hAnsi="Angsana New" w:hint="cs"/>
          <w:sz w:val="32"/>
          <w:szCs w:val="32"/>
          <w:cs/>
        </w:rPr>
        <w:t xml:space="preserve"> </w:t>
      </w:r>
      <w:r w:rsidRPr="00A81930">
        <w:rPr>
          <w:rFonts w:ascii="Angsana New" w:hAnsi="Angsana New"/>
          <w:sz w:val="32"/>
          <w:szCs w:val="32"/>
          <w:cs/>
        </w:rPr>
        <w:t>คณ</w:t>
      </w:r>
      <w:r w:rsidRPr="00A81930">
        <w:rPr>
          <w:rFonts w:ascii="Angsana New" w:hAnsi="Angsana New" w:hint="cs"/>
          <w:sz w:val="32"/>
          <w:szCs w:val="32"/>
          <w:cs/>
        </w:rPr>
        <w:t>า</w:t>
      </w:r>
      <w:r w:rsidRPr="00A81930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 ขอขอบคุณท่านอาจารย์ธวัชชัย ดุลยสุจริต</w:t>
      </w:r>
      <w:r w:rsidRPr="00A81930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81930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81930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81930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81930">
        <w:rPr>
          <w:rFonts w:ascii="AngsanaUPC" w:hAnsi="AngsanaUPC" w:cs="AngsanaUPC"/>
          <w:sz w:val="32"/>
          <w:szCs w:val="32"/>
        </w:rPr>
        <w:t xml:space="preserve"> </w:t>
      </w:r>
      <w:r w:rsidRPr="00A81930">
        <w:rPr>
          <w:rFonts w:ascii="Angsana New" w:hAnsi="Angsana New"/>
          <w:sz w:val="32"/>
          <w:szCs w:val="32"/>
          <w:cs/>
        </w:rPr>
        <w:t xml:space="preserve">นอกจากนี้ </w:t>
      </w:r>
      <w:r w:rsidRPr="00A81930">
        <w:rPr>
          <w:rFonts w:ascii="AngsanaUPC" w:hAnsi="AngsanaUPC" w:cs="AngsanaUPC" w:hint="cs"/>
          <w:sz w:val="32"/>
          <w:szCs w:val="32"/>
          <w:cs/>
        </w:rPr>
        <w:t>ขอขอบคุณนางสาว</w:t>
      </w:r>
      <w:proofErr w:type="spellStart"/>
      <w:r w:rsidRPr="00A81930">
        <w:rPr>
          <w:rFonts w:ascii="AngsanaUPC" w:hAnsi="AngsanaUPC" w:cs="AngsanaUPC"/>
          <w:sz w:val="32"/>
          <w:szCs w:val="32"/>
          <w:cs/>
        </w:rPr>
        <w:t>ณัฐ</w:t>
      </w:r>
      <w:proofErr w:type="spellEnd"/>
      <w:r w:rsidRPr="00A81930">
        <w:rPr>
          <w:rFonts w:ascii="AngsanaUPC" w:hAnsi="AngsanaUPC" w:cs="AngsanaUPC"/>
          <w:sz w:val="32"/>
          <w:szCs w:val="32"/>
          <w:cs/>
        </w:rPr>
        <w:t xml:space="preserve">ลักษณ์ บุญฤาชา </w:t>
      </w:r>
      <w:r w:rsidRPr="00A81930">
        <w:rPr>
          <w:rFonts w:ascii="AngsanaUPC" w:hAnsi="AngsanaUPC" w:cs="AngsanaUPC" w:hint="cs"/>
          <w:sz w:val="32"/>
          <w:szCs w:val="32"/>
          <w:cs/>
        </w:rPr>
        <w:t>เพื่อนร่วม</w:t>
      </w:r>
      <w:r w:rsidRPr="00A81930">
        <w:rPr>
          <w:rFonts w:ascii="Angsana New" w:hAnsi="Angsana New"/>
          <w:sz w:val="32"/>
          <w:szCs w:val="32"/>
          <w:cs/>
        </w:rPr>
        <w:t xml:space="preserve">อาจารย์ที่ปรึกษา </w:t>
      </w:r>
      <w:r w:rsidRPr="00A81930">
        <w:rPr>
          <w:rFonts w:ascii="AngsanaUPC" w:hAnsi="AngsanaUPC" w:cs="AngsanaUPC" w:hint="cs"/>
          <w:sz w:val="32"/>
          <w:szCs w:val="32"/>
          <w:cs/>
        </w:rPr>
        <w:t>ที่คอยช่วยเหลือแนะนำหลายๆอย่างอีกทั้งคอยเตือนเกี่ยวกับงานที่จะต้องทำอยู่เสมอมาโดยตลอด และขอนอบน้อมกราบขอบพระคุณ</w:t>
      </w:r>
      <w:r w:rsidRPr="00A81930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81930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81930">
        <w:rPr>
          <w:rFonts w:ascii="AngsanaUPC" w:hAnsi="AngsanaUPC" w:cs="AngsanaUPC"/>
          <w:sz w:val="32"/>
          <w:szCs w:val="32"/>
        </w:rPr>
        <w:t xml:space="preserve"> </w:t>
      </w:r>
      <w:r w:rsidRPr="00A81930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81930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81930" w:rsidRPr="00A81930" w:rsidRDefault="00A81930" w:rsidP="00A81930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81930" w:rsidRPr="00A81930" w:rsidRDefault="00A81930" w:rsidP="00A81930">
      <w:pPr>
        <w:jc w:val="center"/>
        <w:rPr>
          <w:rFonts w:ascii="Angsana New" w:hAnsi="Angsana New"/>
          <w:sz w:val="32"/>
          <w:szCs w:val="32"/>
        </w:rPr>
      </w:pPr>
      <w:r w:rsidRPr="00A81930">
        <w:rPr>
          <w:rFonts w:ascii="Angsana New" w:hAnsi="Angsana New"/>
          <w:sz w:val="32"/>
          <w:szCs w:val="32"/>
        </w:rPr>
        <w:t>“</w:t>
      </w:r>
      <w:r w:rsidRPr="00A81930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81930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81930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81930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81930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81930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81930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81930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81930">
        <w:rPr>
          <w:rFonts w:ascii="Angsana New" w:hAnsi="Angsana New"/>
          <w:sz w:val="32"/>
          <w:szCs w:val="32"/>
        </w:rPr>
        <w:t>”</w:t>
      </w:r>
    </w:p>
    <w:p w:rsidR="00A81930" w:rsidRPr="00A81930" w:rsidRDefault="00A81930" w:rsidP="00A81930">
      <w:pPr>
        <w:jc w:val="center"/>
        <w:rPr>
          <w:rFonts w:ascii="AngsanaUPC" w:hAnsi="AngsanaUPC" w:cs="AngsanaUPC"/>
          <w:sz w:val="32"/>
          <w:szCs w:val="32"/>
        </w:rPr>
      </w:pPr>
      <w:r w:rsidRPr="00A81930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81930" w:rsidRPr="00A81930" w:rsidRDefault="00A81930" w:rsidP="00A81930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81930" w:rsidRPr="00A81930" w:rsidRDefault="00A81930" w:rsidP="00AE5148">
      <w:pPr>
        <w:jc w:val="thaiDistribute"/>
        <w:rPr>
          <w:rFonts w:ascii="AngsanaUPC" w:hAnsi="AngsanaUPC" w:cs="AngsanaUPC"/>
          <w:sz w:val="32"/>
          <w:szCs w:val="32"/>
        </w:rPr>
      </w:pPr>
      <w:bookmarkStart w:id="1" w:name="_GoBack"/>
      <w:bookmarkEnd w:id="1"/>
      <w:r w:rsidRPr="00A81930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819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81930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81930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81930">
        <w:rPr>
          <w:rFonts w:ascii="AngsanaUPC" w:hAnsi="AngsanaUPC" w:cs="AngsanaUPC"/>
          <w:sz w:val="32"/>
          <w:szCs w:val="32"/>
          <w:cs/>
        </w:rPr>
        <w:t>ศึกษา</w:t>
      </w:r>
      <w:r w:rsidRPr="00A81930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81930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81930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81930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819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81930">
        <w:rPr>
          <w:rFonts w:ascii="AngsanaUPC" w:hAnsi="AngsanaUPC" w:cs="AngsanaUPC"/>
          <w:sz w:val="32"/>
          <w:szCs w:val="32"/>
          <w:cs/>
        </w:rPr>
        <w:t xml:space="preserve">ๆ </w:t>
      </w:r>
      <w:r w:rsidRPr="00A81930">
        <w:rPr>
          <w:rFonts w:ascii="AngsanaUPC" w:hAnsi="AngsanaUPC" w:cs="AngsanaUPC" w:hint="cs"/>
          <w:sz w:val="32"/>
          <w:szCs w:val="32"/>
          <w:cs/>
        </w:rPr>
        <w:t>ท่าน</w:t>
      </w:r>
      <w:r w:rsidRPr="00A81930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81930">
        <w:rPr>
          <w:rFonts w:ascii="AngsanaUPC" w:hAnsi="AngsanaUPC" w:cs="AngsanaUPC"/>
          <w:sz w:val="32"/>
          <w:szCs w:val="32"/>
        </w:rPr>
        <w:t xml:space="preserve"> </w:t>
      </w:r>
      <w:r w:rsidRPr="00A81930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81930" w:rsidRPr="00A81930" w:rsidRDefault="00A81930" w:rsidP="00A81930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81930" w:rsidRPr="00A81930" w:rsidRDefault="00A81930" w:rsidP="00A81930">
      <w:pPr>
        <w:jc w:val="center"/>
        <w:rPr>
          <w:rFonts w:ascii="Angsana New" w:hAnsi="Angsana New"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81930" w:rsidRDefault="00A81930" w:rsidP="00A41437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3E74E0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ญ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="00E6536B">
              <w:rPr>
                <w:rFonts w:ascii="AngsanaUPC" w:eastAsiaTheme="minorEastAsia" w:hAnsi="AngsanaUPC" w:cs="AngsanaUPC"/>
                <w:sz w:val="32"/>
                <w:szCs w:val="32"/>
              </w:rPr>
              <w:t>T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"/>
        <w:gridCol w:w="7127"/>
        <w:gridCol w:w="621"/>
      </w:tblGrid>
      <w:tr w:rsidR="002400A4" w:rsidRPr="00FF45CA" w:rsidTr="001E2E01">
        <w:tc>
          <w:tcPr>
            <w:tcW w:w="747" w:type="dxa"/>
          </w:tcPr>
          <w:p w:rsidR="002400A4" w:rsidRPr="00FF45CA" w:rsidRDefault="002400A4" w:rsidP="002400A4">
            <w:pPr>
              <w:jc w:val="both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</w:tcPr>
          <w:p w:rsidR="002400A4" w:rsidRPr="00FF45CA" w:rsidRDefault="002400A4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2400A4" w:rsidRPr="00FF45CA" w:rsidRDefault="002400A4" w:rsidP="001E2E01">
            <w:pPr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E2E01">
        <w:tc>
          <w:tcPr>
            <w:tcW w:w="747" w:type="dxa"/>
          </w:tcPr>
          <w:p w:rsidR="00FF45CA" w:rsidRPr="00FF45CA" w:rsidRDefault="00FF45CA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621" w:type="dxa"/>
          </w:tcPr>
          <w:p w:rsidR="00FF45CA" w:rsidRPr="00FF45CA" w:rsidRDefault="00FF45CA" w:rsidP="001E2E01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การเปรียบเทียบรูปสระ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การเปรียบเทียบรูปพยัญชนะวรรค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พยัญชนะอ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การเปรียบเทียบรูปเครื่องหมายและสัญลักษณ์พิเศษ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การเปรียบเทียบรูปตัวเลข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="00A81930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 xml:space="preserve">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e</w:t>
            </w:r>
            <w:r w:rsidR="00A81930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 xml:space="preserve">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  <w:r w:rsidR="00A81930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 xml:space="preserve"> 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i</w:t>
            </w:r>
            <w:proofErr w:type="spellEnd"/>
            <w:r w:rsidR="00A81930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 xml:space="preserve">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o au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ที่ประสมอยู่พยัญชนะต้นอักษรโรมัน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ตัวอย่างการถอดรูปสระอักษรโรมันขึ้นต้นคำ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ตัวอย่างการถอดรูปพยัญชนะอักษรโรมันที่ไม่มีสระอักษรโรมันกำกับ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ตัวอย่างการถอดรูปพยัญชนะอักษรโรมันที่ประสมด้วยสระ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ṛ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ṝ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ḷ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ḹ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ตัวอย่างการถอดรูปเครื่องหมายอนุสวาระ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ตัวอย่างการถอดรูปรูปเครื่องหมาย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ทุหรืออนุนาสิกะ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22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ตัวอย่างการถอดรูปชุดพยัญชนะอักษรโรมันที่เป็นพยัญชนะสังโยค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A81930">
              <w:rPr>
                <w:rFonts w:asciiTheme="majorBidi" w:eastAsiaTheme="minorHAnsi" w:hAnsiTheme="majorBidi" w:cstheme="majorBidi"/>
                <w:sz w:val="32"/>
                <w:szCs w:val="32"/>
              </w:rPr>
              <w:t xml:space="preserve">y r l v </w:t>
            </w:r>
            <w:r w:rsidRPr="00A81930">
              <w:rPr>
                <w:rFonts w:ascii="Cambria" w:eastAsiaTheme="minorHAnsi" w:hAnsi="Cambria" w:cs="Cambria"/>
                <w:sz w:val="32"/>
                <w:szCs w:val="32"/>
              </w:rPr>
              <w:t>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r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ตัวอย่างการถอดรูปพยัญชนะหรือสระที่ไม่คำนึงถึงพยัญชนะสังโยค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สรุปตัวอย่างการตัวอย่างการถอดรูปพยัญชนะสังโยคแบบต่างๆ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ตามด้วยพยัญชนะ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r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v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h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ตัวอย่างการถอดรูปอนุสวาระที่ไม่มีพยัญชนะโรมันอื่นตามติดมา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ตัวอย่างการถอดรูปอนุสวาระแบบสนธิมีพยัญชนะวรรคตาม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ตัวอย่างการถอดรูปอนุสวาระแบบไม่สนธิมีพยัญชนะตามแบบ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650C61" w:rsidRPr="002400A4" w:rsidTr="001E2E01">
        <w:tc>
          <w:tcPr>
            <w:tcW w:w="747" w:type="dxa"/>
            <w:shd w:val="clear" w:color="auto" w:fill="auto"/>
          </w:tcPr>
          <w:p w:rsidR="00650C61" w:rsidRPr="002400A4" w:rsidRDefault="00650C6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650C61" w:rsidRDefault="00650C61" w:rsidP="00C35A40">
            <w:pPr>
              <w:tabs>
                <w:tab w:val="center" w:pos="4252"/>
                <w:tab w:val="left" w:pos="5502"/>
              </w:tabs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รายการตาราง</w:t>
            </w:r>
            <w:r w:rsidR="00C35A40">
              <w:rPr>
                <w:rFonts w:ascii="AngsanaUPC" w:eastAsiaTheme="minorHAnsi" w:hAnsi="AngsanaUPC" w:cs="AngsanaUPC"/>
                <w:b/>
                <w:bCs/>
                <w:sz w:val="32"/>
                <w:szCs w:val="32"/>
              </w:rPr>
              <w:t>(</w:t>
            </w:r>
            <w:r w:rsidR="00C35A40">
              <w:rPr>
                <w:rFonts w:ascii="AngsanaUPC" w:eastAsiaTheme="minorHAnsi" w:hAnsi="AngsanaUPC" w:cs="AngsanaUPC" w:hint="cs"/>
                <w:b/>
                <w:bCs/>
                <w:sz w:val="32"/>
                <w:szCs w:val="32"/>
                <w:cs/>
              </w:rPr>
              <w:t>ต่อ</w:t>
            </w:r>
            <w:r w:rsidR="00C35A40">
              <w:rPr>
                <w:rFonts w:ascii="AngsanaUPC" w:eastAsiaTheme="minorHAnsi" w:hAnsi="AngsanaUPC" w:cs="AngsanaUPC"/>
                <w:b/>
                <w:bCs/>
                <w:sz w:val="32"/>
                <w:szCs w:val="32"/>
              </w:rPr>
              <w:t>)</w:t>
            </w:r>
          </w:p>
          <w:p w:rsidR="00C35A40" w:rsidRPr="00C35A40" w:rsidRDefault="00C35A40" w:rsidP="00C35A40">
            <w:pPr>
              <w:tabs>
                <w:tab w:val="center" w:pos="4252"/>
                <w:tab w:val="left" w:pos="5502"/>
              </w:tabs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650C61" w:rsidRPr="002400A4" w:rsidRDefault="00650C61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C35A40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2400A4" w:rsidRDefault="001E2E01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1E2E01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1E2E01" w:rsidRDefault="001E2E01" w:rsidP="002400A4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ตัวอย่างการถอดรูปอนุสวาระและมีพยัญชนะตามแบบ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อันตัส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ถะ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  <w:r w:rsidR="001E2E01">
              <w:rPr>
                <w:rFonts w:ascii="AngsanaUPC" w:eastAsiaTheme="minorHAnsi" w:hAnsi="AngsanaUPC" w:cs="AngsanaUPC"/>
                <w:sz w:val="32"/>
                <w:szCs w:val="32"/>
              </w:rPr>
              <w:t>0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1E2E01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ตัวอย่างการถอดรูปพยัญชนะสังโยคแบบคำที่ใช้ในภาษาไทย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ตัวอย่างการถอดรูปพยัญชนะสังโยคแบบคำควบกล้ำไทย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สัญลักษณ์ประกอบขั้นตอนวิธีของกฎการปริวรรต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การพิสูจน์ขั้นตอนวิธี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Algorithm)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ในการปริวรรตอักษร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3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วิธี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63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ผลการทดสอบประสิทธิภาพของระบบ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ผลการประเมินตารางการเปรียบเทียบผลการปริวรรต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ผลการประเมินตารางการเปรียบเทียบอักษร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ผลการประเมินด้านความง่ายต่อการใช้งานระบบ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Usability)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80</w:t>
            </w:r>
          </w:p>
        </w:tc>
      </w:tr>
    </w:tbl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="00583BBD">
              <w:rPr>
                <w:rFonts w:ascii="AngsanaUPC" w:hAnsi="AngsanaUPC" w:cs="AngsanaUPC"/>
                <w:sz w:val="32"/>
                <w:szCs w:val="32"/>
              </w:rPr>
              <w:t>Class D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53F" w:rsidRDefault="00CC153F">
      <w:r>
        <w:separator/>
      </w:r>
    </w:p>
  </w:endnote>
  <w:endnote w:type="continuationSeparator" w:id="0">
    <w:p w:rsidR="00CC153F" w:rsidRDefault="00CC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53F" w:rsidRDefault="00CC153F">
      <w:r>
        <w:separator/>
      </w:r>
    </w:p>
  </w:footnote>
  <w:footnote w:type="continuationSeparator" w:id="0">
    <w:p w:rsidR="00CC153F" w:rsidRDefault="00CC1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AE5148">
      <w:rPr>
        <w:rStyle w:val="PageNumber"/>
        <w:rFonts w:ascii="Angsana New" w:hAnsi="Angsana New" w:cs="Angsana New"/>
        <w:noProof/>
        <w:sz w:val="32"/>
        <w:cs/>
      </w:rPr>
      <w:t>ง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06FB0"/>
    <w:rsid w:val="00015F39"/>
    <w:rsid w:val="00021627"/>
    <w:rsid w:val="0006239A"/>
    <w:rsid w:val="000639D3"/>
    <w:rsid w:val="00094C26"/>
    <w:rsid w:val="000A7A0C"/>
    <w:rsid w:val="000E39C6"/>
    <w:rsid w:val="001017BC"/>
    <w:rsid w:val="0012229C"/>
    <w:rsid w:val="0012757A"/>
    <w:rsid w:val="0013170C"/>
    <w:rsid w:val="00146544"/>
    <w:rsid w:val="00160B2A"/>
    <w:rsid w:val="00163069"/>
    <w:rsid w:val="00173831"/>
    <w:rsid w:val="001A137A"/>
    <w:rsid w:val="001B112B"/>
    <w:rsid w:val="001B7C46"/>
    <w:rsid w:val="001E2E01"/>
    <w:rsid w:val="001E2EE0"/>
    <w:rsid w:val="001F2035"/>
    <w:rsid w:val="00236EC8"/>
    <w:rsid w:val="002400A4"/>
    <w:rsid w:val="00282D87"/>
    <w:rsid w:val="00293C92"/>
    <w:rsid w:val="00327838"/>
    <w:rsid w:val="0033397D"/>
    <w:rsid w:val="00343994"/>
    <w:rsid w:val="003612A6"/>
    <w:rsid w:val="003E74E0"/>
    <w:rsid w:val="0040316F"/>
    <w:rsid w:val="00407151"/>
    <w:rsid w:val="004B0C8C"/>
    <w:rsid w:val="004B3018"/>
    <w:rsid w:val="00583BBD"/>
    <w:rsid w:val="005F0AC1"/>
    <w:rsid w:val="00601F94"/>
    <w:rsid w:val="00615964"/>
    <w:rsid w:val="00650C61"/>
    <w:rsid w:val="00673524"/>
    <w:rsid w:val="00684D93"/>
    <w:rsid w:val="00692816"/>
    <w:rsid w:val="006B02E7"/>
    <w:rsid w:val="00716878"/>
    <w:rsid w:val="007379BF"/>
    <w:rsid w:val="007647D8"/>
    <w:rsid w:val="007C4A07"/>
    <w:rsid w:val="00826597"/>
    <w:rsid w:val="00850194"/>
    <w:rsid w:val="008551E1"/>
    <w:rsid w:val="00892384"/>
    <w:rsid w:val="008B6D12"/>
    <w:rsid w:val="008C0B22"/>
    <w:rsid w:val="008C2110"/>
    <w:rsid w:val="009109CF"/>
    <w:rsid w:val="0097525E"/>
    <w:rsid w:val="00975D38"/>
    <w:rsid w:val="00A246B6"/>
    <w:rsid w:val="00A312AE"/>
    <w:rsid w:val="00A41437"/>
    <w:rsid w:val="00A50194"/>
    <w:rsid w:val="00A6782C"/>
    <w:rsid w:val="00A81930"/>
    <w:rsid w:val="00AC14AB"/>
    <w:rsid w:val="00AE5148"/>
    <w:rsid w:val="00AE65F5"/>
    <w:rsid w:val="00AF0E5C"/>
    <w:rsid w:val="00B36278"/>
    <w:rsid w:val="00B46FE1"/>
    <w:rsid w:val="00BB3B84"/>
    <w:rsid w:val="00BF7B66"/>
    <w:rsid w:val="00C35A40"/>
    <w:rsid w:val="00C71712"/>
    <w:rsid w:val="00CC153F"/>
    <w:rsid w:val="00CC311C"/>
    <w:rsid w:val="00CF3CC9"/>
    <w:rsid w:val="00D27AB0"/>
    <w:rsid w:val="00D84CEC"/>
    <w:rsid w:val="00DA17B3"/>
    <w:rsid w:val="00E6536B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61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54E0-A888-4930-94BF-3B3B8F62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1430</Words>
  <Characters>8155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Thanakrit-Promsiri</cp:lastModifiedBy>
  <cp:revision>41</cp:revision>
  <dcterms:created xsi:type="dcterms:W3CDTF">2015-05-24T08:42:00Z</dcterms:created>
  <dcterms:modified xsi:type="dcterms:W3CDTF">2016-08-10T17:33:00Z</dcterms:modified>
</cp:coreProperties>
</file>