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A02-1q: Liên quan tài liệu: HỆ THỐNG TRUY NGUYÊN DỤNG CỤ TIÊU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4 của tiêu chuẩn, đối với hiệu chỉnh bên ngoài, theo nguyên tắc phải đáp ứng đầy đủ mấy điều kiện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Đáp ứng đầy đủ 2 điều kiện (Bản thành tích kiểm tra, Giấy chứng nhận hiệu chỉnh).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Đáp ứng đầy đủ 3 điều kiện (Bản thành tích kiểm tra, Giấy chứng nhận hiệu chuẩn, Lưu đồ hệ thống truy nguyên).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Đáp ứng đầy đủ 4 điều kiện bao gồm cả kỳ hạn lưu trữ tài liệu.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Giấy chứng nhận hiệu chỉnh có biểu tượng ilac-MRA.</w:t>
      </w:r>
    </w:p>
    <w:p/>
    <w:p>
      <w:r>
        <w:rPr>
          <w:rFonts w:ascii="Arial" w:hAnsi="Arial" w:eastAsia="Arial"/>
          <w:b w:val="0"/>
          <w:sz w:val="20"/>
        </w:rPr>
        <w:t>Câu 002: Theo tiêu chuẩn dụng cụ đo đạc A02-1q, khi thực hiện hiệu chỉnh bên ngoài, theo nguyên tắc phải ưu tiên áp dụng hình thức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Tổ chức hiệu chuẩn thông thường (d).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Nhà chế tạo của thiết bị đối tượng (b).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Tổ chức được chứng nhận bởi cơ quan công nhận chính thức của bên thứ ba công nhận là phòng thí nghiệm/hiệu chuẩn chứng nhận ISO/IEC 17025 theo ilac-MRA (a).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Tổ chức được chứng nhận ISO/IEC 17025 không áp dụng theo ilac-MRA (c).</w:t>
      </w:r>
    </w:p>
    <w:p/>
    <w:p>
      <w:r>
        <w:rPr>
          <w:rFonts w:ascii="Arial" w:hAnsi="Arial" w:eastAsia="Arial"/>
          <w:b w:val="0"/>
          <w:sz w:val="20"/>
        </w:rPr>
        <w:t>Câu 003: Theo tài liệu, kỳ hạn lưu trữ tài liệu đối với các tài liệu hiệu chỉnh được quy định dựa theo tài liệu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Q-MAB-C033 [Tiêu chuẩn quản lý ký lục chất lượng]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Tiêu chuẩn ISO/IEC 17025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Tiêu chuẩn IATF 16949:2016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Hướng dẫn hiệu chỉnh và điểm kiểm thiết bị đo A16-2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