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A09-3: Liên quan tài liệu: BẢN TIÊU CHUẨN HIỆU CHỈNH – ĐIỂM KIỂM DỤNG CỤ ĐO (Quản lý file chủ)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đăng ký tên người đẻm trách hiệu chỉnh của phòng ban quản lý, nếu trường hợp biểu thị không hiện ra là do nguyên nhân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Do máy tính bị mất kết nối mạng Internet.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Do chưa đăng ký phòng ban đảm trách quản lý, nên phải đăng ký theo mục 2 trước.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Do chưa nhập mã số nhân viên chính xác.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Do chưa chọn ngôn ngữ hiển thị tiếng Anh.</w:t>
      </w:r>
    </w:p>
    <w:p/>
    <w:p>
      <w:r>
        <w:rPr>
          <w:rFonts w:ascii="Arial" w:hAnsi="Arial" w:eastAsia="Arial"/>
          <w:b/>
          <w:sz w:val="20"/>
        </w:rPr>
        <w:t>Câu 002: ◎ Trong trường hợp đăng ký bị sai hoặc nội dung đăng ký không còn cần thiết nữa đối với hạng mục 1 và hạng mục 2, thao tác xử lý bất thường/hủy bỏ chính xác theo tiêu chuẩn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động xóa vĩnh viễn khỏi hệ thống bằng cách tắt nguồn máy tính.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Check vào ô Delete và click vào Lưu đăng ký.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Gọi điện báo cáo cấp trên trực tiếp mà không cần thao tác trên máy.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Thay đổi tên máy đo thành chữ Delete.</w:t>
      </w:r>
    </w:p>
    <w:p/>
    <w:p>
      <w:r>
        <w:rPr>
          <w:rFonts w:ascii="Arial" w:hAnsi="Arial" w:eastAsia="Arial"/>
          <w:b w:val="0"/>
          <w:sz w:val="20"/>
        </w:rPr>
        <w:t>Câu 003: Khi thực hiện đăng ký tên gọi dụng cụ đo trong chương trình ACM [Quản lý file chủ], sau khi nhập mã số tiêu chuẩn dụng cụ đo và hiển thị dòng chữ thông báo, thao tác tiếp theo cần thực hiện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Nhập vào ngày tháng năm phát hành, thiết định cứ điểm tương ứng, nhập vào tên máy đo, nhập chu kỳ hiệu chỉnh và click vào Lưu đăng ký.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Click trực tiếp vào nút Delete để xóa bỏ dữ liệu cũ.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nhập tên phòng ban quản lý rồi lưu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Check vào checkbox Hủy bỏ rồi click Lưu đăng ký.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