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1-A00 Ban V IT HOA ===</w:t>
      </w:r>
    </w:p>
    <w:p>
      <w:r>
        <w:rPr>
          <w:rFonts w:ascii="Arial" w:hAnsi="Arial" w:eastAsia="Arial"/>
          <w:b/>
          <w:sz w:val="18"/>
        </w:rPr>
        <w:t>Phần A09-4 a: Liên quan tài liệu: BẢN TIÊU CHUẨN HIỆU CHỈNH – ĐIỂM KIỂM DỤNG CỤ ĐO (ACM [Quản lý DATA])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Trong phần hướng dẫn xử lý dữ liệu (Xóa dữ liệu dùng cho hạng mục 1, 2) tại trang 5 của tài liệu, thao tác đầu tiên người thực hiện cần làm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Click vào nút 레コード保存 trực tiếp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Nhập mã số máy đo cần hủy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Check vào checkbox xoá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Chọn phân loại Điểm kiểm</w:t>
      </w:r>
    </w:p>
    <w:p/>
    <w:p>
      <w:r>
        <w:rPr>
          <w:rFonts w:ascii="Arial" w:hAnsi="Arial" w:eastAsia="Arial"/>
          <w:b/>
          <w:sz w:val="20"/>
        </w:rPr>
        <w:t>Câu 002: ◎ Khi thực hiện đăng ký kết quả hiệu chỉnh dụng cụ đo trên ACM, nếu trong cùng một ngày mà nhập 2 lần trở lên thì quy định nhập số lần hiệu chỉnh như thế nào là chính xác theo tiêu chuẩn?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Luôn luôn nhập số [1] cho mọi lần nhập trong ngày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Nhập [2 lần], [3 lần],… tương ứng theo số lần phát sinh trong ngày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được phép nhập 2 lần trong cùng một ngày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Hệ thống sẽ tự động nhận diện và khóa không cho nhập tiếp</w:t>
      </w:r>
    </w:p>
    <w:p/>
    <w:p>
      <w:r>
        <w:rPr>
          <w:rFonts w:ascii="Arial" w:hAnsi="Arial" w:eastAsia="Arial"/>
          <w:b w:val="0"/>
          <w:sz w:val="20"/>
        </w:rPr>
        <w:t>Câu 003: Theo tiêu chuẩn ACM [Quản lý DATA], khi thao tác đăng ký cá biệt dụng cụ đo, tại ô ''ngày đăng ký'', hệ thống sẽ tự động hiển thị ngày của chu kỳ hiệu chỉnh lần sau ở ô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Ô ''mã số máy đo''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Ô ''ngày hiệu chỉnh lần sau''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Ô ''phạm vi đo đạc''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Ô ''tên người đảm trách''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