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1-A00 Ban V IT HOA ===</w:t>
      </w:r>
    </w:p>
    <w:p>
      <w:r>
        <w:rPr>
          <w:rFonts w:ascii="Arial" w:hAnsi="Arial" w:eastAsia="Arial"/>
          <w:b/>
          <w:sz w:val="18"/>
        </w:rPr>
        <w:t>Phần A09-7: Liên quan tài liệu: TIÊU CHUẨN HIỆU CHỈNH ĐIỂM KIỂM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/>
          <w:sz w:val="20"/>
        </w:rPr>
        <w:t>Câu 001: ◎ Chú ý quan trọng nào được nêu rõ khi thực hiện đăng ký hủy bỏ trên trang ACM SHEET?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Phải sao lưu dữ liệu ra file Excel trước khi thực hiện.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Sau này sẽ không thể đăng ký dữ liệu ACM vào mã số trang tính tương ứng nữa nên hãy chú ý.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Phải có chữ ký xác nhận của Trưởng ban BHCL.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Dữ liệu máy móc đã đăng ký trước đó sẽ bị xóa hoàn toàn khỏi hệ thống.</w:t>
      </w:r>
    </w:p>
    <w:p/>
    <w:p>
      <w:r>
        <w:rPr>
          <w:rFonts w:ascii="Arial" w:hAnsi="Arial" w:eastAsia="Arial"/>
          <w:b w:val="0"/>
          <w:sz w:val="20"/>
        </w:rPr>
        <w:t>Câu 002: Theo tiêu chuẩn, ai là người có quyền thao tác trong QSM MASTER của Phiên bản SMI ACM?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Tất cả các nhân viên trong bộ phận BHCL.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Chỉ MMK mới có quyền thao tác.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Đội trưởng các dây chuyền sản xuất.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Bất kỳ nhân viên nào được phân công làm việc với máy tính.</w:t>
      </w:r>
    </w:p>
    <w:p/>
    <w:p>
      <w:r>
        <w:rPr>
          <w:rFonts w:ascii="Arial" w:hAnsi="Arial" w:eastAsia="Arial"/>
          <w:b w:val="0"/>
          <w:sz w:val="20"/>
        </w:rPr>
        <w:t>Câu 003: Theo quy định về thao tác xóa thông tin đăng ký tại trang REGIST và INSPECTION, nguyên tắc xử lý dữ liệu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Có thể tự do xóa bất kỳ dòng dữ liệu nào không còn sử dụng để làm gọn hệ thống.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Dữ liệu sẽ tự động được xóa vĩnh viễn sau 30 ngày.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Về nguyên tắc, dữ liệu sẽ không bị xóa trên màn hình này vì sẽ viết lại dữ liệu ACM của cơ sở.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Phải dùng nút xóa đặc biệt trên bàn phím thay vì dùng nút trên màn hình.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