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val="0"/>
          <w:sz w:val="20"/>
        </w:rPr>
        <w:t>Câu 001: Trong quy trình hiệu chuẩn nội bộ theo tiêu chuẩn A10-1h, kết quả hiệu chuẩn sau khi hoàn thành sẽ được xử lý như thế nào trước khi ghi chép và bảo quản?</w:t>
      </w:r>
    </w:p>
    <w:p>
      <w:pPr>
        <w:ind w:left="454"/>
      </w:pPr>
      <w:r>
        <w:rPr>
          <w:rFonts w:ascii="Arial" w:hAnsi="Arial" w:eastAsia="Arial"/>
          <w:b w:val="0"/>
          <w:sz w:val="20"/>
        </w:rPr>
        <w:t>A. Chỉ cần người thực hiện hiệu chuẩn đóng dấu mà không cần cấp trên xác nhận.</w:t>
      </w:r>
    </w:p>
    <w:p>
      <w:pPr>
        <w:ind w:left="454"/>
      </w:pPr>
      <w:r>
        <w:rPr>
          <w:rFonts w:ascii="Arial" w:hAnsi="Arial" w:eastAsia="Arial"/>
          <w:b w:val="0"/>
          <w:sz w:val="20"/>
        </w:rPr>
        <w:t>B. Gửi trực tiếp cho nhà sản xuất để họ lưu kho dữ liệu.</w:t>
      </w:r>
    </w:p>
    <w:p>
      <w:pPr>
        <w:ind w:left="454"/>
      </w:pPr>
      <w:r>
        <w:rPr>
          <w:rFonts w:ascii="Arial" w:hAnsi="Arial" w:eastAsia="Arial"/>
          <w:b w:val="0"/>
          <w:sz w:val="20"/>
        </w:rPr>
        <w:t>C. Trường hợp hiệu chuẩn nội bộ sẽ được xác nhận và đóng dấu bởi người thực hiện, sau đó cấp trên của nhân viên hiệu chuẩn hoặc người được cấp trên chỉ định sẽ xác nhận và đóng dấu trước khi ghi chép và bảo quản.</w:t>
      </w:r>
    </w:p>
    <w:p>
      <w:pPr>
        <w:ind w:left="454"/>
      </w:pPr>
      <w:r>
        <w:rPr>
          <w:rFonts w:ascii="Arial" w:hAnsi="Arial" w:eastAsia="Arial"/>
          <w:b w:val="0"/>
          <w:sz w:val="20"/>
        </w:rPr>
        <w:t>D. Phải lập bản đề nghị tái hiệu chỉnh gửi lên ban giám đốc phê duyệt.</w:t>
      </w:r>
    </w:p>
    <w:p/>
    <w:p>
      <w:r>
        <w:rPr>
          <w:rFonts w:ascii="Arial" w:hAnsi="Arial" w:eastAsia="Arial"/>
          <w:b/>
          <w:sz w:val="20"/>
        </w:rPr>
        <w:t>Câu 002: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val="0"/>
          <w:sz w:val="20"/>
        </w:rPr>
        <w:t>Câu 003: Theo tiêu chuẩn A10-1h, việc thực thi kiểm tra dụng cụ đo và ghi chép biểu điểm kiểm do ai đảm trách và ai xác nhận?</w:t>
      </w:r>
    </w:p>
    <w:p>
      <w:pPr>
        <w:ind w:left="454"/>
      </w:pPr>
      <w:r>
        <w:rPr>
          <w:rFonts w:ascii="Arial" w:hAnsi="Arial" w:eastAsia="Arial"/>
          <w:b w:val="0"/>
          <w:sz w:val="20"/>
        </w:rPr>
        <w:t>A. Do nhân viên kho ghi chép, bộ phận mua hàng xác nhận và đóng dấu.</w:t>
      </w:r>
    </w:p>
    <w:p>
      <w:pPr>
        <w:ind w:left="454"/>
      </w:pPr>
      <w:r>
        <w:rPr>
          <w:rFonts w:ascii="Arial" w:hAnsi="Arial" w:eastAsia="Arial"/>
          <w:b w:val="0"/>
          <w:sz w:val="20"/>
        </w:rPr>
        <w:t>B. Do người đảm trách sử dụng dụng cụ của từng bộ phận ghi chép và đóng dấu, cấp trên của nhóm hoặc người được cấp trên chỉ định xác nhận và đóng dấu.</w:t>
      </w:r>
    </w:p>
    <w:p>
      <w:pPr>
        <w:ind w:left="454"/>
      </w:pPr>
      <w:r>
        <w:rPr>
          <w:rFonts w:ascii="Arial" w:hAnsi="Arial" w:eastAsia="Arial"/>
          <w:b w:val="0"/>
          <w:sz w:val="20"/>
        </w:rPr>
        <w:t>C. Do nhân viên hiệu chuẩn trực tiếp ghi chép và Trưởng phòng BHCL xác nhận.</w:t>
      </w:r>
    </w:p>
    <w:p>
      <w:pPr>
        <w:ind w:left="454"/>
      </w:pPr>
      <w:r>
        <w:rPr>
          <w:rFonts w:ascii="Arial" w:hAnsi="Arial" w:eastAsia="Arial"/>
          <w:b w:val="0"/>
          <w:sz w:val="20"/>
        </w:rPr>
        <w:t>D. Do nhà sản xuất dụng cụ đo ghi chép và bộ phận quản lý thiết bị xác nhận.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