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1-A00 Ban V IT HOA ===</w:t>
      </w:r>
    </w:p>
    <w:p>
      <w:r>
        <w:rPr>
          <w:rFonts w:ascii="Arial" w:hAnsi="Arial" w:eastAsia="Arial"/>
          <w:b/>
          <w:sz w:val="18"/>
        </w:rPr>
        <w:t>Phần A11-2 f: Liên quan tài liệu: Bản tiêu chuẩn hiệu chỉnh-điểm kiểm</w:t>
      </w:r>
    </w:p>
    <w:p>
      <w:r>
        <w:rPr>
          <w:rFonts w:ascii="Arial" w:hAnsi="Arial" w:eastAsia="Arial"/>
          <w:b w:val="0"/>
          <w:sz w:val="18"/>
        </w:rPr>
        <w:t>Đối tượng test: Đội LK, TP, ĐGSP, HC, GCCK</w:t>
      </w:r>
    </w:p>
    <w:p>
      <w:r>
        <w:rPr>
          <w:rFonts w:ascii="Arial" w:hAnsi="Arial" w:eastAsia="Arial"/>
          <w:b w:val="0"/>
          <w:sz w:val="20"/>
        </w:rPr>
        <w:t>Câu 001: Theo tiêu chuẩn hiệu chỉnh-điểm kiểm, tần suất thực hiện ghi chép kết quả điểm kiểm (không liên quan đến việc có dị thường hay không) là bao lâu?</w:t>
      </w:r>
    </w:p>
    <w:p>
      <w:pPr>
        <w:ind w:left="454"/>
      </w:pPr>
      <w:r>
        <w:rPr>
          <w:rFonts w:ascii="Arial" w:hAnsi="Arial" w:eastAsia="Arial"/>
          <w:b w:val="0"/>
          <w:sz w:val="20"/>
        </w:rPr>
        <w:t>A. 1 tuần 1 lần</w:t>
      </w:r>
    </w:p>
    <w:p>
      <w:pPr>
        <w:ind w:left="454"/>
      </w:pPr>
      <w:r>
        <w:rPr>
          <w:rFonts w:ascii="Arial" w:hAnsi="Arial" w:eastAsia="Arial"/>
          <w:b w:val="0"/>
          <w:sz w:val="20"/>
        </w:rPr>
        <w:t>B. 1 tháng 1 lần</w:t>
      </w:r>
    </w:p>
    <w:p>
      <w:pPr>
        <w:ind w:left="454"/>
      </w:pPr>
      <w:r>
        <w:rPr>
          <w:rFonts w:ascii="Arial" w:hAnsi="Arial" w:eastAsia="Arial"/>
          <w:b w:val="0"/>
          <w:sz w:val="20"/>
        </w:rPr>
        <w:t>C. 6 tháng 1 lần</w:t>
      </w:r>
    </w:p>
    <w:p>
      <w:pPr>
        <w:ind w:left="454"/>
      </w:pPr>
      <w:r>
        <w:rPr>
          <w:rFonts w:ascii="Arial" w:hAnsi="Arial" w:eastAsia="Arial"/>
          <w:b w:val="0"/>
          <w:sz w:val="20"/>
        </w:rPr>
        <w:t>D. 12 tháng 1 lần</w:t>
      </w:r>
    </w:p>
    <w:p/>
    <w:p>
      <w:r>
        <w:rPr>
          <w:rFonts w:ascii="Arial" w:hAnsi="Arial" w:eastAsia="Arial"/>
          <w:b/>
          <w:sz w:val="20"/>
        </w:rPr>
        <w:t>Câu 002: ◎ Trường hợp phát hiện có dị thường khi điểm kiểm (hoặc khi sử dụng máy đo), quy trình xử lý chính xác theo quy định là gì?</w:t>
      </w:r>
    </w:p>
    <w:p>
      <w:pPr>
        <w:ind w:left="454"/>
      </w:pPr>
      <w:r>
        <w:rPr>
          <w:rFonts w:ascii="Arial" w:hAnsi="Arial" w:eastAsia="Arial"/>
          <w:b w:val="0"/>
          <w:sz w:val="20"/>
        </w:rPr>
        <w:t>A. Tự ý tháo dỡ máy để sửa chữa ngay lập tức</w:t>
      </w:r>
    </w:p>
    <w:p>
      <w:pPr>
        <w:ind w:left="454"/>
      </w:pPr>
      <w:r>
        <w:rPr>
          <w:rFonts w:ascii="Arial" w:hAnsi="Arial" w:eastAsia="Arial"/>
          <w:b w:val="0"/>
          <w:sz w:val="20"/>
        </w:rPr>
        <w:t>B. Tiếp tục sử dụng bình thường nếu lỗi nhỏ</w:t>
      </w:r>
    </w:p>
    <w:p>
      <w:pPr>
        <w:ind w:left="454"/>
      </w:pPr>
      <w:r>
        <w:rPr>
          <w:rFonts w:ascii="Arial" w:hAnsi="Arial" w:eastAsia="Arial"/>
          <w:b w:val="0"/>
          <w:sz w:val="20"/>
        </w:rPr>
        <w:t>C. Kí lục lại kết quả đó, và xử lí theo chỉ thị của người chịu trách nhiệm của phòng ban sở hữu, thực hiện yêu cầu tái hiệu chỉnh nếu cần thiết</w:t>
      </w:r>
    </w:p>
    <w:p>
      <w:pPr>
        <w:ind w:left="454"/>
      </w:pPr>
      <w:r>
        <w:rPr>
          <w:rFonts w:ascii="Arial" w:hAnsi="Arial" w:eastAsia="Arial"/>
          <w:b w:val="0"/>
          <w:sz w:val="20"/>
        </w:rPr>
        <w:t>D. Vứt bỏ thiết bị và lập biên bản hủy</w:t>
      </w:r>
    </w:p>
    <w:p/>
    <w:p>
      <w:r>
        <w:rPr>
          <w:rFonts w:ascii="Arial" w:hAnsi="Arial" w:eastAsia="Arial"/>
          <w:b w:val="0"/>
          <w:sz w:val="20"/>
        </w:rPr>
        <w:t>Câu 003: Trong trường hợp thực hiện hiệu chỉnh bên ngoài và giấy chứng nhận hiệu chỉnh không có ghi nhận đạt/không đạt, thì cần phải thực hiện công việc gì trong nội bộ?</w:t>
      </w:r>
    </w:p>
    <w:p>
      <w:pPr>
        <w:ind w:left="454"/>
      </w:pPr>
      <w:r>
        <w:rPr>
          <w:rFonts w:ascii="Arial" w:hAnsi="Arial" w:eastAsia="Arial"/>
          <w:b w:val="0"/>
          <w:sz w:val="20"/>
        </w:rPr>
        <w:t>A. Làm thủ tục trả lại nhà cung cấp để cấp lại chứng nhận mới</w:t>
      </w:r>
    </w:p>
    <w:p>
      <w:pPr>
        <w:ind w:left="454"/>
      </w:pPr>
      <w:r>
        <w:rPr>
          <w:rFonts w:ascii="Arial" w:hAnsi="Arial" w:eastAsia="Arial"/>
          <w:b w:val="0"/>
          <w:sz w:val="20"/>
        </w:rPr>
        <w:t>B. Bỏ qua không cần phán định vì nhà cung cấp đã đo bên ngoài</w:t>
      </w:r>
    </w:p>
    <w:p>
      <w:pPr>
        <w:ind w:left="454"/>
      </w:pPr>
      <w:r>
        <w:rPr>
          <w:rFonts w:ascii="Arial" w:hAnsi="Arial" w:eastAsia="Arial"/>
          <w:b w:val="0"/>
          <w:sz w:val="20"/>
        </w:rPr>
        <w:t>C. Thực hiện đánh giá đạt/không đạt trong nội bộ</w:t>
      </w:r>
    </w:p>
    <w:p>
      <w:pPr>
        <w:ind w:left="454"/>
      </w:pPr>
      <w:r>
        <w:rPr>
          <w:rFonts w:ascii="Arial" w:hAnsi="Arial" w:eastAsia="Arial"/>
          <w:b w:val="0"/>
          <w:sz w:val="20"/>
        </w:rPr>
        <w:t>D. Tự ý sửa lại giấy chứng nhận của nhà cung cấp</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