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A16-2 e: Liên quan tài liệu: Bản tiêu chuẩn hiệu chỉnh.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quy định sửa đổi mới nhất (bản cải đính 2022.03.10), đối với trường hợp hiệu chỉnh chứng nhận ISO/IEC17025, điều kiện nào bắt buộc phải có đối với cơ quan chứng nhận?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có dấu chứng nhận giữa ilac-MRA quốc tế với chứng nhận của cơ quan công nhận quốc gia với nhau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có giấy chứng nhận nội bộ của nhà cung cấp dịch vụ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có sự phê duyệt của Trưởng ban BHCL công ty Mabuchi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quan tâm đến dấu chứng nhận quốc tế nếu thiết bị đo có độ chính xác cao</w:t>
      </w:r>
    </w:p>
    <w:p/>
    <w:p>
      <w:r>
        <w:rPr>
          <w:rFonts w:ascii="Arial" w:hAnsi="Arial" w:eastAsia="Arial"/>
          <w:b w:val="0"/>
          <w:sz w:val="20"/>
        </w:rPr>
        <w:t>Câu 002: Khi tổ chức hiệu chỉnh được lựa chọn theo điều kiện không thể chứng nhận ISO/IEC17025, các yêu cầu của IATF16949:2016 mục 7.1.5.3.1 phải được đáp ứng điều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cần quy định phương pháp thí nghiệm mà không cần quan tâm điều kiện môi trường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quy định rõ điều kiện môi trường của nơi thí nghiệm, phương pháp thí nghiệm và năng lực nhân viên thực hiện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Nhân viên thực hiện kiểm tra không bắt buộc phải đáp ứng yêu cầu năng lực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áp dụng tiêu chuẩn nội bộ của công ty cung cấp dịch vụ, không cần theo chuẩn ASTM, EN hay JIS</w:t>
      </w:r>
    </w:p>
    <w:p/>
    <w:p>
      <w:r>
        <w:rPr>
          <w:rFonts w:ascii="Arial" w:hAnsi="Arial" w:eastAsia="Arial"/>
          <w:b w:val="0"/>
          <w:sz w:val="20"/>
        </w:rPr>
        <w:t>Câu 003: Theo tài liệu, tần suất xem xét nội dung trả lời của bản yêu cầu đối với việc hiệu chỉnh chứng nhận ISO/IEC17025 hoặc tương ứng là bao lâu một lần?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 /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 /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 /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 / 1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