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001: Khi xử lý tình huống kiểm xuất dị thường đối với thiết bị đo (Mục 5), nhân viên phụ trách cần thực hiện trình tự báo cáo như thế nào?</w:t>
      </w:r>
    </w:p>
    <w:p>
      <w:pPr>
        <w:ind w:left="454"/>
      </w:pPr>
      <w:r>
        <w:rPr>
          <w:rFonts w:ascii="Arial" w:hAnsi="Arial" w:eastAsia="Arial"/>
          <w:b w:val="0"/>
          <w:sz w:val="20"/>
        </w:rPr>
        <w:t>A. Tự ý tháo dỡ thiết bị để sửa chữa bên trong.</w:t>
      </w:r>
    </w:p>
    <w:p>
      <w:pPr>
        <w:ind w:left="454"/>
      </w:pPr>
      <w:r>
        <w:rPr>
          <w:rFonts w:ascii="Arial" w:hAnsi="Arial" w:eastAsia="Arial"/>
          <w:b w:val="0"/>
          <w:sz w:val="20"/>
        </w:rPr>
        <w:t>B. Giữ nguyên trạng thái và tiếp tục sử dụng cho đến hết ca làm việc.</w:t>
      </w:r>
    </w:p>
    <w:p>
      <w:pPr>
        <w:ind w:left="454"/>
      </w:pPr>
      <w:r>
        <w:rPr>
          <w:rFonts w:ascii="Arial" w:hAnsi="Arial" w:eastAsia="Arial"/>
          <w:b w:val="0"/>
          <w:sz w:val="20"/>
        </w:rPr>
        <w:t>C. Liên lạc ngay đến đại lý hoặc nhà chế tạo yêu cầu xử lý; trường hợp trị biểu thị biến động thì liên lạc người đảm trách quản lý; biểu thị nội dung dị thường bằng dán giấy ở thiết bị đo.</w:t>
      </w:r>
    </w:p>
    <w:p>
      <w:pPr>
        <w:ind w:left="454"/>
      </w:pPr>
      <w:r>
        <w:rPr>
          <w:rFonts w:ascii="Arial" w:hAnsi="Arial" w:eastAsia="Arial"/>
          <w:b w:val="0"/>
          <w:sz w:val="20"/>
        </w:rPr>
        <w:t>D. Chỉ cần báo miệng cho đồng nghiệp cùng chuyền là đủ.</w:t>
      </w:r>
    </w:p>
    <w:p/>
    <w:p>
      <w:r>
        <w:rPr>
          <w:rFonts w:ascii="Arial" w:hAnsi="Arial" w:eastAsia="Arial"/>
          <w:b w:val="0"/>
          <w:sz w:val="20"/>
        </w:rPr>
        <w:t>Câu 002: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003: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