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001: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002: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val="0"/>
          <w:sz w:val="20"/>
        </w:rPr>
        <w:t>Câu 003: Theo tài liệu, ngoại trừ những trường hợp đặc biệt, tần suất điểm kiểm (kiểm tra) dụng cụ đo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sinh bất thường</w:t>
      </w:r>
    </w:p>
    <w:p>
      <w:pPr>
        <w:ind w:left="454"/>
      </w:pPr>
      <w:r>
        <w:rPr>
          <w:rFonts w:ascii="Arial" w:hAnsi="Arial" w:eastAsia="Arial"/>
          <w:b w:val="0"/>
          <w:sz w:val="20"/>
        </w:rPr>
        <w:t>D. Mỗi năm 1 lần định kỳ</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