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012-3f: Liên quan tài liệu: Tài liệu tiêu chuẩn hiệu chỉnh và kiểm tra dụng cụ trắc định Máy phân tích motor Phòng nghiên cứu Sugawara EMA-1, EMA-1S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Phương pháp phán định đối với hạng mục hiệu chỉnh trị số ngẫu lực (hiệu chỉnh trước và sau điều chỉnh)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0.1 % ngẫu lực quy định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0.2 % ngẫu lực quy định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0.5 % ngẫu lực quy định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1.0 % ngẫu lực quy định</w:t>
      </w:r>
    </w:p>
    <w:p/>
    <w:p>
      <w:r>
        <w:rPr>
          <w:rFonts w:ascii="Arial" w:hAnsi="Arial" w:eastAsia="Arial"/>
          <w:b/>
          <w:sz w:val="20"/>
        </w:rPr>
        <w:t>Câu 002: ◎ Theo mục Ghi chú kiểm tra, trường hợp kết quả kiểm tra không thấy bất thường thì quy định ghi chép như thế nào là đúng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kỳ tài liệu nào trong suốt quá trình sử dụng thiết bị.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lại kết quả kiểm tra đầy đủ sau mỗi lần sử dụng dù không có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chép lại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có sự cố phát sinh trong quá trình vận hành máy.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kiểm tra đối với bộ phận đo ngẫu lực và bộ phận điều khiển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 và cuối tuần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