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014-16 b: Liên quan tài liệu: BẢN TIÊU CHUẨN HIỆU CHỈNH – ĐIỂM KIỂM MÁY ĐO Máy đo tiếng ồn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tần suất thực hiện điểm kiểm (kiểm tra hàng ngày/định kỳ) đối với máy đo tiếng ồn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khi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thực hiện mỗi năm 1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thực hiện khi phát hiện âm thanh bất thường.</w:t>
      </w:r>
    </w:p>
    <w:p/>
    <w:p>
      <w:r>
        <w:rPr>
          <w:rFonts w:ascii="Arial" w:hAnsi="Arial" w:eastAsia="Arial"/>
          <w:b w:val="0"/>
          <w:sz w:val="20"/>
        </w:rPr>
        <w:t>Câu 002: Khi tiến hành mục 3 (Xác nhận bằng máy phát rung bộ phận bên trong) với phạm vi đo 40-100dB, áp suất âm thanh chuẩn và phương pháp phán định (giá trị cho phép)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94.0dB ± 0.5dB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94.0dB ± 1dB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114.0dB ± 1dB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124.0dB ± 1dB</w:t>
      </w:r>
    </w:p>
    <w:p/>
    <w:p>
      <w:r>
        <w:rPr>
          <w:rFonts w:ascii="Arial" w:hAnsi="Arial" w:eastAsia="Arial"/>
          <w:b/>
          <w:sz w:val="20"/>
        </w:rPr>
        <w:t>Câu 003: ◎ Theo mục chú ý tại phần điểm kiểm, trường hợp phát hiện có dị thường khi điểm kiểm (hoặc khi sử dụng), nhân viên cần phải thực hiện hành động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máy ra sửa chữa linh kiện bên trong.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sai số nhỏ hơn 5dB.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Kí lục lại kết quả đó, và xử lí theo chỉ thị của người chịu trách nhiệm của phòng ban sở hữu.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ghi chép nếu không ảnh hưởng đến sản lượng.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