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2-000 Ban V IT HOA ===</w:t>
      </w:r>
    </w:p>
    <w:p>
      <w:r>
        <w:rPr>
          <w:rFonts w:ascii="Arial" w:hAnsi="Arial" w:eastAsia="Arial"/>
          <w:b/>
          <w:sz w:val="18"/>
        </w:rPr>
        <w:t>Phần 019-9: Liên quan tài liệu: Bản tiêu chuẩn hiệu chỉnh-điểm kiểm Máy đo tốc độ kỹ thuật số Nidec DT-2100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/>
          <w:sz w:val="20"/>
        </w:rPr>
        <w:t>Câu 001: ◎ Quy cách phán định khi hiệu chỉnh điểm 10000 r/min đối với máy đo tốc độ kỹ thuật số Nidec DT-2100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±1r/min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±2r/min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±7r/min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±10r/min</w:t>
      </w:r>
    </w:p>
    <w:p/>
    <w:p>
      <w:r>
        <w:rPr>
          <w:rFonts w:ascii="Arial" w:hAnsi="Arial" w:eastAsia="Arial"/>
          <w:b w:val="0"/>
          <w:sz w:val="20"/>
        </w:rPr>
        <w:t>Câu 002: Theo tài liệu, tiến độ điểm kiểm (kiểm tra hàng ngày/định kỳ) đối với máy đo tốc độ kỹ thuật số Nidec DT-2100 được quy định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tuần 1 lần và mỗi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tháng 1 lần và mỗi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3 tháng 1 lần và trước khi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Chỉ kiểm tra khi máy xảy ra sự cố</w:t>
      </w:r>
    </w:p>
    <w:p/>
    <w:p>
      <w:r>
        <w:rPr>
          <w:rFonts w:ascii="Arial" w:hAnsi="Arial" w:eastAsia="Arial"/>
          <w:b w:val="0"/>
          <w:sz w:val="20"/>
        </w:rPr>
        <w:t>Câu 003: Khi tiến hành điểm kiểm ngoại quan, tiêu chí phán định nào sau đây là chính xác theo tiêu chuẩn?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Không có bất kỳ vết bẩn, vỡ, mẻ hoặc hư hỏng nào ảnh hưởng đến việc đo đạc ở các bộ phận như bộ đo, bộ phát hiện, bộ hiển thị, khung ngoài và các nút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Cho phép trầy xước nhẹ ở khung ngoài miễn là màn hình hiển thị số rõ ràng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Vết bẩn nhỏ không ảnh hưởng đến độ chính xác thì không cần làm sạch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Chỉ cần kiểm tra bộ phận phát hiện quang học, khung ngoài không quan trọng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