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023-2c: Liên quan tài liệu: Tài liệu tiêu chuẩn hiệu chỉnh và kiểm tra dụng cụ trắc định - Máy ghi (Pen recorder)</w:t>
      </w:r>
    </w:p>
    <w:p>
      <w:r>
        <w:rPr>
          <w:rFonts w:ascii="Arial" w:hAnsi="Arial" w:eastAsia="Arial"/>
          <w:b w:val="0"/>
          <w:sz w:val="18"/>
        </w:rPr>
        <w:t>Đối tượng test: Nhân viên, Đội trưởng phòng BHCL</w:t>
      </w:r>
    </w:p>
    <w:p>
      <w:r>
        <w:rPr>
          <w:rFonts w:ascii="Arial" w:hAnsi="Arial" w:eastAsia="Arial"/>
          <w:b w:val="0"/>
          <w:sz w:val="20"/>
        </w:rPr>
        <w:t>Câu 001: Khi kết quả kiểm tra không thấy bất thường thì quy định ghi chép kết quả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Phải ghi chép lại chi tiết kết quả kiểm tra sau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ghi chép kết quả cũng được, nhưng mỗi tháng phải ghi chép lại kết quả đã kiểm tra một lần dù không có gì bất thường xảy ra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Chỉ cần ghi chép khi có sự cố bất thường xảy ra trong ca làm việc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Không bắt buộc phải ghi chép kết quả trong bất kỳ trường hợp nào</w:t>
      </w:r>
    </w:p>
    <w:p/>
    <w:p>
      <w:r>
        <w:rPr>
          <w:rFonts w:ascii="Arial" w:hAnsi="Arial" w:eastAsia="Arial"/>
          <w:b w:val="0"/>
          <w:sz w:val="20"/>
        </w:rPr>
        <w:t>Câu 002: Theo tài liệu, tiến độ kiểm tra ngoại quan, dây điện đầu vào, giấy ghi, mực in đối với máy ghi (Pen recorder) được quy định vào thời điểm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12 tháng một lần</w:t>
      </w:r>
    </w:p>
    <w:p/>
    <w:p>
      <w:r>
        <w:rPr>
          <w:rFonts w:ascii="Arial" w:hAnsi="Arial" w:eastAsia="Arial"/>
          <w:b/>
          <w:sz w:val="20"/>
        </w:rPr>
        <w:t>Câu 003: ◎ Phương pháp phán định đối với hạng mục 'Độ chính xác đo đạc' của máy ghi (Pen recorder) theo tài liệu chuẩn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± 0.5% của bề rộng ghi chép hữu hiệu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± 1.0% của bề rộng ghi chép hữu hiệu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± 0.25% của bề rộng ghi chép hữu hiệu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± 2.0% của bề rộng ghi chép hữu hiệu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