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025-2i: Liên quan tài liệu: Bản tiêu chuẩn hiệu chỉnh-điểm kiểm Máy đo chấn động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II 【Điểm kiểm】 của tiêu chuẩn, tiến độ thực hiện điểm kiểm máy đo chấn động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trước khi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thực hiện 6 tháng một lần theo chu kỳ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thực hiện khi có yêu cầu từ phòng bảo dưỡng</w:t>
      </w:r>
    </w:p>
    <w:p/>
    <w:p>
      <w:r>
        <w:rPr>
          <w:rFonts w:ascii="Arial" w:hAnsi="Arial" w:eastAsia="Arial"/>
          <w:b/>
          <w:sz w:val="20"/>
        </w:rPr>
        <w:t>Câu 002: ◎ Trong quá trình hiệu chỉnh và điểm kiểm máy đo chấn động, khi nào bắt buộc phải yêu cầu thực hiện hiệu chỉnh lại?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Khi thay đổi vị trí đặt bệ chống chấn động trong phòng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Khi vệ sinh bên ngoài máy đo định kỳ hằng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Khi thay thế cáp hoặc đầu dò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thay đổi nhân viên phụ trách đo lường</w:t>
      </w:r>
    </w:p>
    <w:p/>
    <w:p>
      <w:r>
        <w:rPr>
          <w:rFonts w:ascii="Arial" w:hAnsi="Arial" w:eastAsia="Arial"/>
          <w:b w:val="0"/>
          <w:sz w:val="20"/>
        </w:rPr>
        <w:t>Câu 003: Khi tiến hành hiệu chỉnh Gain cho Mode '100Hz～10μm' với VR là D4 và OUTPUT READING là ×1, trị chỉ thị RMS ở đồng hồ ① theo biểu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10% thang đo ở phía dưới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1% thang đo ở phía dưới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100% thang đo ở phía dưới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35～60% thang đo phía dưới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