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025-6 b: Liên quan tài liệu: BẢN TIÊU CHUẨN HIỆU CHỈNH – ĐIỂM KIỂM MÁY ĐO SO SÁNH CHẤN ĐỘNG ONOSOKKI VC-3100/VC-3200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hạng mục hiệu chỉnh 'Điện áp offset DC', tiêu chuẩn phán định đối với model VC-3100 tại thiết đặt EXT input RANGE 1.000 km/s²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0.000 ±15.000 mV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0.000 ±17.000 mV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Dưới 10.000 mVrms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Trên 81.5 dB</w:t>
      </w:r>
    </w:p>
    <w:p/>
    <w:p>
      <w:r>
        <w:rPr>
          <w:rFonts w:ascii="Arial" w:hAnsi="Arial" w:eastAsia="Arial"/>
          <w:b w:val="0"/>
          <w:sz w:val="20"/>
        </w:rPr>
        <w:t>Câu 002: Theo hướng dẫn ở phần chú ý của mục điểm kiểm (trang 5), việc ghi chép kết quả kiểm tra khi KHÔNG phát sinh bất thường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đầy đủ kết quả kiểm tra hằng ngày vào biểu mẫu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 hàng ngày, nhưng dù cho không phát sinh bất thường trong vòng một tháng thì cũng cần phải ghi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cần ghi chép lại để tiết kiệm giấy tờ và thời gian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báo cáo bằng miệng cho người quản lý trực tiếp mà không cần ghi chép</w:t>
      </w:r>
    </w:p>
    <w:p/>
    <w:p>
      <w:r>
        <w:rPr>
          <w:rFonts w:ascii="Arial" w:hAnsi="Arial" w:eastAsia="Arial"/>
          <w:b w:val="0"/>
          <w:sz w:val="20"/>
        </w:rPr>
        <w:t>Câu 003: Theo tài liệu tiêu chuẩn, tiến độ điểm kiểm (tần suất kiểm tra) đối với máy đo so sánh chấn động ONOSOKKI VC-3100/VC-3200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trước khi vào ca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Định kỳ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khi có sự thay đổi người thao tác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